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default"/>
          <w:b/>
          <w:bCs/>
          <w:spacing w:val="0"/>
          <w:sz w:val="48"/>
          <w:szCs w:val="48"/>
          <w:lang w:val="en-US" w:eastAsia="zh-CN"/>
        </w:rPr>
      </w:pPr>
      <w:bookmarkStart w:id="0" w:name="_GoBack"/>
      <w:bookmarkEnd w:id="0"/>
      <w:r>
        <w:rPr>
          <w:rFonts w:hint="eastAsia" w:ascii="仿宋_GB2312" w:hAnsi="仿宋_GB2312" w:eastAsia="仿宋_GB2312" w:cs="仿宋_GB2312"/>
          <w:b/>
          <w:bCs/>
          <w:spacing w:val="0"/>
          <w:sz w:val="48"/>
          <w:szCs w:val="48"/>
          <w:lang w:val="en-US" w:eastAsia="zh-CN"/>
        </w:rPr>
        <w:t>三门峡市2025年学生资助工作总结</w:t>
      </w:r>
    </w:p>
    <w:p>
      <w:pPr>
        <w:keepNext w:val="0"/>
        <w:keepLines w:val="0"/>
        <w:pageBreakBefore w:val="0"/>
        <w:widowControl w:val="0"/>
        <w:numPr>
          <w:ilvl w:val="0"/>
          <w:numId w:val="0"/>
        </w:numPr>
        <w:kinsoku/>
        <w:wordWrap/>
        <w:overflowPunct/>
        <w:topLinePunct w:val="0"/>
        <w:autoSpaceDE/>
        <w:autoSpaceDN/>
        <w:bidi w:val="0"/>
        <w:adjustRightInd/>
        <w:snapToGrid/>
        <w:ind w:left="0" w:leftChars="0"/>
        <w:textAlignment w:val="auto"/>
        <w:rPr>
          <w:rFonts w:hint="eastAsia"/>
          <w:b/>
          <w:bCs/>
          <w:spacing w:val="0"/>
          <w:sz w:val="48"/>
          <w:szCs w:val="4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642" w:firstLineChars="200"/>
        <w:textAlignment w:val="auto"/>
        <w:rPr>
          <w:rFonts w:hint="eastAsia" w:ascii="仿宋_GB2312" w:hAnsi="仿宋_GB2312" w:eastAsia="仿宋_GB2312" w:cs="仿宋_GB2312"/>
          <w:b/>
          <w:bCs/>
          <w:spacing w:val="0"/>
          <w:sz w:val="32"/>
          <w:szCs w:val="32"/>
          <w:lang w:val="en-US" w:eastAsia="zh-CN"/>
        </w:rPr>
      </w:pPr>
      <w:r>
        <w:rPr>
          <w:rFonts w:hint="eastAsia" w:ascii="仿宋_GB2312" w:hAnsi="仿宋_GB2312" w:eastAsia="仿宋_GB2312" w:cs="仿宋_GB2312"/>
          <w:b/>
          <w:bCs/>
          <w:spacing w:val="0"/>
          <w:sz w:val="32"/>
          <w:szCs w:val="32"/>
          <w:lang w:val="en-US" w:eastAsia="zh-CN"/>
        </w:rPr>
        <w:t>一、工作目标完成情况</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2025年全年，全市共计资助家庭经济困难学生146708人次，资助金额9438.33万元，其中:资助原建档立卡学生84078人次，资助金额4835.17万元。</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2025年生源地助学贷款受理合同21788笔，受理金额32842.8万元。</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资助特困大学新生50人，每人4000元，金额合计20万元。</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“滋蕙计划”资助大学新生574人，资助金额合计35.65万元。</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“励耕计划”资助困难教师118人，资助金额合计124万元。</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642" w:firstLineChars="200"/>
        <w:textAlignment w:val="auto"/>
        <w:rPr>
          <w:rFonts w:hint="eastAsia" w:ascii="仿宋_GB2312" w:hAnsi="仿宋_GB2312" w:eastAsia="仿宋_GB2312" w:cs="仿宋_GB2312"/>
          <w:b/>
          <w:bCs/>
          <w:spacing w:val="0"/>
          <w:sz w:val="32"/>
          <w:szCs w:val="32"/>
          <w:lang w:val="en-US" w:eastAsia="zh-CN"/>
        </w:rPr>
      </w:pPr>
      <w:r>
        <w:rPr>
          <w:rFonts w:hint="eastAsia" w:ascii="仿宋_GB2312" w:hAnsi="仿宋_GB2312" w:eastAsia="仿宋_GB2312" w:cs="仿宋_GB2312"/>
          <w:b/>
          <w:bCs/>
          <w:spacing w:val="0"/>
          <w:sz w:val="32"/>
          <w:szCs w:val="32"/>
          <w:lang w:val="en-US" w:eastAsia="zh-CN"/>
        </w:rPr>
        <w:t>二、主要工作</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642" w:firstLineChars="200"/>
        <w:textAlignment w:val="auto"/>
        <w:rPr>
          <w:rFonts w:hint="eastAsia" w:ascii="仿宋_GB2312" w:hAnsi="仿宋_GB2312" w:eastAsia="仿宋_GB2312" w:cs="仿宋_GB2312"/>
          <w:b/>
          <w:bCs/>
          <w:spacing w:val="0"/>
          <w:sz w:val="32"/>
          <w:szCs w:val="32"/>
          <w:lang w:val="en-US" w:eastAsia="zh-CN"/>
        </w:rPr>
      </w:pPr>
      <w:r>
        <w:rPr>
          <w:rFonts w:hint="eastAsia" w:ascii="仿宋_GB2312" w:hAnsi="仿宋_GB2312" w:eastAsia="仿宋_GB2312" w:cs="仿宋_GB2312"/>
          <w:b/>
          <w:bCs/>
          <w:spacing w:val="0"/>
          <w:sz w:val="32"/>
          <w:szCs w:val="32"/>
          <w:lang w:val="en-US" w:eastAsia="zh-CN"/>
        </w:rPr>
        <w:t>（一） 进一步完善学生资助政策体系与机制。</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b w:val="0"/>
          <w:bCs w:val="0"/>
          <w:spacing w:val="0"/>
          <w:sz w:val="32"/>
          <w:szCs w:val="32"/>
          <w:lang w:val="en-US" w:eastAsia="zh-CN"/>
        </w:rPr>
      </w:pPr>
      <w:r>
        <w:rPr>
          <w:rFonts w:hint="eastAsia" w:ascii="仿宋_GB2312" w:hAnsi="仿宋_GB2312" w:eastAsia="仿宋_GB2312" w:cs="仿宋_GB2312"/>
          <w:b w:val="0"/>
          <w:bCs w:val="0"/>
          <w:spacing w:val="0"/>
          <w:sz w:val="32"/>
          <w:szCs w:val="32"/>
          <w:lang w:val="en-US" w:eastAsia="zh-CN"/>
        </w:rPr>
        <w:t>深入开展各学段学生资助政策调研，不断完善学生资助政策体系与机制。贯彻落实财政部、教育部等五部门印发的《学生资助资金管理办法》，及时传达学习《财政部教育部人力资源社会保障部关于调整高等教育阶段和高中阶段国家奖助学金政策的通知》《财政部教育部中国人民银行金融监管总局关于调整完善国家助学贷款有关政策的通知》《财政部教育部关于下达2024年城乡义务教育补助经费预算的通知》，将最新资助政策落地落实。全面推进“一卡通”资金发放工作，提高资助资金发放效率。</w:t>
      </w:r>
    </w:p>
    <w:p>
      <w:pPr>
        <w:keepNext w:val="0"/>
        <w:keepLines w:val="0"/>
        <w:pageBreakBefore w:val="0"/>
        <w:widowControl w:val="0"/>
        <w:numPr>
          <w:ilvl w:val="0"/>
          <w:numId w:val="1"/>
        </w:numPr>
        <w:kinsoku/>
        <w:wordWrap/>
        <w:overflowPunct/>
        <w:topLinePunct w:val="0"/>
        <w:autoSpaceDE/>
        <w:autoSpaceDN/>
        <w:bidi w:val="0"/>
        <w:adjustRightInd/>
        <w:snapToGrid/>
        <w:ind w:left="0" w:leftChars="0" w:firstLine="640" w:firstLineChars="0"/>
        <w:jc w:val="left"/>
        <w:textAlignment w:val="auto"/>
        <w:rPr>
          <w:rFonts w:hint="eastAsia" w:ascii="仿宋_GB2312" w:hAnsi="仿宋_GB2312" w:eastAsia="仿宋_GB2312" w:cs="仿宋_GB2312"/>
          <w:b w:val="0"/>
          <w:bCs w:val="0"/>
          <w:spacing w:val="0"/>
          <w:sz w:val="32"/>
          <w:szCs w:val="32"/>
          <w:lang w:val="en-US" w:eastAsia="zh-CN"/>
        </w:rPr>
      </w:pPr>
      <w:r>
        <w:rPr>
          <w:rFonts w:hint="eastAsia" w:ascii="仿宋_GB2312" w:hAnsi="仿宋_GB2312" w:eastAsia="仿宋_GB2312" w:cs="仿宋_GB2312"/>
          <w:b/>
          <w:bCs/>
          <w:spacing w:val="0"/>
          <w:sz w:val="32"/>
          <w:szCs w:val="32"/>
          <w:lang w:val="en-US" w:eastAsia="zh-CN"/>
        </w:rPr>
        <w:t> 加强生源地信用助学贷款工作管理</w:t>
      </w:r>
      <w:r>
        <w:rPr>
          <w:rFonts w:hint="eastAsia" w:ascii="仿宋_GB2312" w:hAnsi="仿宋_GB2312" w:eastAsia="仿宋_GB2312" w:cs="仿宋_GB2312"/>
          <w:b w:val="0"/>
          <w:bCs w:val="0"/>
          <w:spacing w:val="0"/>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jc w:val="left"/>
        <w:textAlignment w:val="auto"/>
        <w:rPr>
          <w:rFonts w:hint="eastAsia" w:ascii="仿宋_GB2312" w:hAnsi="仿宋_GB2312" w:eastAsia="仿宋_GB2312" w:cs="仿宋_GB2312"/>
          <w:b w:val="0"/>
          <w:bCs w:val="0"/>
          <w:spacing w:val="0"/>
          <w:sz w:val="32"/>
          <w:szCs w:val="32"/>
          <w:lang w:val="en-US" w:eastAsia="zh-CN"/>
        </w:rPr>
      </w:pPr>
      <w:r>
        <w:rPr>
          <w:rFonts w:hint="eastAsia" w:ascii="仿宋_GB2312" w:hAnsi="仿宋_GB2312" w:eastAsia="仿宋_GB2312" w:cs="仿宋_GB2312"/>
          <w:b w:val="0"/>
          <w:bCs w:val="0"/>
          <w:spacing w:val="0"/>
          <w:sz w:val="32"/>
          <w:szCs w:val="32"/>
          <w:lang w:val="en-US" w:eastAsia="zh-CN"/>
        </w:rPr>
        <w:t>不断加强助学贷款工作规范化管理，不断改进工作方式方法、不断提高工作人员业务能力和服务水平，确保政策全覆盖和“应贷尽贷”。生源地信用助学贷款工作进入良性发展快车道，贷款金额首次超过3亿元。</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642" w:firstLineChars="200"/>
        <w:textAlignment w:val="auto"/>
        <w:rPr>
          <w:rFonts w:hint="eastAsia" w:ascii="仿宋_GB2312" w:hAnsi="仿宋_GB2312" w:eastAsia="仿宋_GB2312" w:cs="仿宋_GB2312"/>
          <w:b/>
          <w:bCs/>
          <w:spacing w:val="0"/>
          <w:sz w:val="32"/>
          <w:szCs w:val="32"/>
          <w:lang w:val="en-US" w:eastAsia="zh-CN"/>
        </w:rPr>
      </w:pPr>
      <w:r>
        <w:rPr>
          <w:rFonts w:hint="eastAsia" w:ascii="仿宋_GB2312" w:hAnsi="仿宋_GB2312" w:eastAsia="仿宋_GB2312" w:cs="仿宋_GB2312"/>
          <w:b/>
          <w:bCs/>
          <w:spacing w:val="0"/>
          <w:sz w:val="32"/>
          <w:szCs w:val="32"/>
          <w:lang w:val="en-US" w:eastAsia="zh-CN"/>
        </w:rPr>
        <w:t>（三）加快推进以应用为导向的学生资助信息化建设。</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b w:val="0"/>
          <w:bCs w:val="0"/>
          <w:spacing w:val="0"/>
          <w:sz w:val="32"/>
          <w:szCs w:val="32"/>
          <w:lang w:val="en-US" w:eastAsia="zh-CN"/>
        </w:rPr>
      </w:pPr>
      <w:r>
        <w:rPr>
          <w:rFonts w:hint="eastAsia" w:ascii="仿宋_GB2312" w:hAnsi="仿宋_GB2312" w:eastAsia="仿宋_GB2312" w:cs="仿宋_GB2312"/>
          <w:b w:val="0"/>
          <w:bCs w:val="0"/>
          <w:spacing w:val="0"/>
          <w:sz w:val="32"/>
          <w:szCs w:val="32"/>
          <w:lang w:val="en-US" w:eastAsia="zh-CN"/>
        </w:rPr>
        <w:t>按照需求牵引、应用为王、服务至上的原则加快建设完善学生资助信息系统，大力提升学生资助管理数字化、网络化、智能化水平，以信息化支撑学生资助治理体系和治理能力现代化。</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642" w:firstLineChars="200"/>
        <w:textAlignment w:val="auto"/>
        <w:rPr>
          <w:rFonts w:hint="eastAsia" w:ascii="仿宋_GB2312" w:hAnsi="仿宋_GB2312" w:eastAsia="仿宋_GB2312" w:cs="仿宋_GB2312"/>
          <w:b/>
          <w:bCs/>
          <w:spacing w:val="0"/>
          <w:sz w:val="32"/>
          <w:szCs w:val="32"/>
          <w:lang w:val="en-US" w:eastAsia="zh-CN"/>
        </w:rPr>
      </w:pPr>
      <w:r>
        <w:rPr>
          <w:rFonts w:hint="eastAsia" w:ascii="仿宋_GB2312" w:hAnsi="仿宋_GB2312" w:eastAsia="仿宋_GB2312" w:cs="仿宋_GB2312"/>
          <w:b/>
          <w:bCs/>
          <w:spacing w:val="0"/>
          <w:sz w:val="32"/>
          <w:szCs w:val="32"/>
          <w:lang w:val="en-US" w:eastAsia="zh-CN"/>
        </w:rPr>
        <w:t>（四） 持续加强精准资助。</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b w:val="0"/>
          <w:bCs w:val="0"/>
          <w:spacing w:val="0"/>
          <w:sz w:val="32"/>
          <w:szCs w:val="32"/>
          <w:lang w:val="en-US" w:eastAsia="zh-CN"/>
        </w:rPr>
      </w:pPr>
      <w:r>
        <w:rPr>
          <w:rFonts w:hint="eastAsia" w:ascii="仿宋_GB2312" w:hAnsi="仿宋_GB2312" w:eastAsia="仿宋_GB2312" w:cs="仿宋_GB2312"/>
          <w:b w:val="0"/>
          <w:bCs w:val="0"/>
          <w:spacing w:val="0"/>
          <w:sz w:val="32"/>
          <w:szCs w:val="32"/>
          <w:lang w:val="en-US" w:eastAsia="zh-CN"/>
        </w:rPr>
        <w:t>进一步完善家庭经济困难学生认定标准和工作程序，努力实现资助对象精准、资金分配精准、资助标准精准、发放时间精准。健全农村家庭经济困难学生教育帮扶机制，重点保障脱贫享受政策户和风险未消除的监测对象家庭学生、最低生活保障家庭学生、特困供养学生、事实无人抚养儿童、孤儿、烈士子女、残疾学生、残疾人子女、监护人因见义勇为伤亡的被监护人、城市困难职工家庭子女等特殊困难群体，及时将其纳入资助范围，确保</w:t>
      </w:r>
      <w:r>
        <w:rPr>
          <w:rFonts w:hint="eastAsia" w:ascii="仿宋_GB2312" w:hAnsi="仿宋_GB2312" w:eastAsia="仿宋_GB2312" w:cs="仿宋_GB2312"/>
          <w:b/>
          <w:bCs/>
          <w:spacing w:val="0"/>
          <w:sz w:val="32"/>
          <w:szCs w:val="32"/>
          <w:lang w:val="en-US" w:eastAsia="zh-CN"/>
        </w:rPr>
        <w:t>“应助尽助”</w:t>
      </w:r>
      <w:r>
        <w:rPr>
          <w:rFonts w:hint="eastAsia" w:ascii="仿宋_GB2312" w:hAnsi="仿宋_GB2312" w:eastAsia="仿宋_GB2312" w:cs="仿宋_GB2312"/>
          <w:b w:val="0"/>
          <w:bCs w:val="0"/>
          <w:spacing w:val="0"/>
          <w:sz w:val="32"/>
          <w:szCs w:val="32"/>
          <w:lang w:val="en-US" w:eastAsia="zh-CN"/>
        </w:rPr>
        <w:t>。</w:t>
      </w:r>
    </w:p>
    <w:p>
      <w:pPr>
        <w:keepNext w:val="0"/>
        <w:keepLines w:val="0"/>
        <w:pageBreakBefore w:val="0"/>
        <w:widowControl w:val="0"/>
        <w:numPr>
          <w:ilvl w:val="0"/>
          <w:numId w:val="2"/>
        </w:numPr>
        <w:kinsoku/>
        <w:wordWrap/>
        <w:overflowPunct/>
        <w:topLinePunct w:val="0"/>
        <w:autoSpaceDE/>
        <w:autoSpaceDN/>
        <w:bidi w:val="0"/>
        <w:adjustRightInd/>
        <w:snapToGrid/>
        <w:ind w:left="0" w:leftChars="0" w:firstLine="642" w:firstLineChars="200"/>
        <w:textAlignment w:val="auto"/>
        <w:rPr>
          <w:rFonts w:hint="eastAsia" w:ascii="仿宋_GB2312" w:hAnsi="仿宋_GB2312" w:eastAsia="仿宋_GB2312" w:cs="仿宋_GB2312"/>
          <w:b/>
          <w:bCs/>
          <w:spacing w:val="0"/>
          <w:sz w:val="32"/>
          <w:szCs w:val="32"/>
          <w:lang w:val="en-US" w:eastAsia="zh-CN"/>
        </w:rPr>
      </w:pPr>
      <w:r>
        <w:rPr>
          <w:rFonts w:hint="eastAsia" w:ascii="仿宋_GB2312" w:hAnsi="仿宋_GB2312" w:eastAsia="仿宋_GB2312" w:cs="仿宋_GB2312"/>
          <w:b/>
          <w:bCs/>
          <w:spacing w:val="0"/>
          <w:sz w:val="32"/>
          <w:szCs w:val="32"/>
          <w:lang w:val="en-US" w:eastAsia="zh-CN"/>
        </w:rPr>
        <w:t>扎实推进资助育人。</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b w:val="0"/>
          <w:bCs w:val="0"/>
          <w:spacing w:val="0"/>
          <w:sz w:val="32"/>
          <w:szCs w:val="32"/>
          <w:lang w:val="en-US" w:eastAsia="zh-CN"/>
        </w:rPr>
      </w:pPr>
      <w:r>
        <w:rPr>
          <w:rFonts w:hint="eastAsia" w:ascii="仿宋_GB2312" w:hAnsi="仿宋_GB2312" w:eastAsia="仿宋_GB2312" w:cs="仿宋_GB2312"/>
          <w:b w:val="0"/>
          <w:bCs w:val="0"/>
          <w:spacing w:val="0"/>
          <w:sz w:val="32"/>
          <w:szCs w:val="32"/>
          <w:lang w:val="en-US" w:eastAsia="zh-CN"/>
        </w:rPr>
        <w:t>坚持把促进家庭经济困难学生成长成才作为学生资助工作的出发点和落脚点，作为立德树人的重要组成部分。构建学校全员参与、各部门配合、各教育教学环节统筹协调的资助育人机制，加强对受助学生的教育引导，强化资助育人工作中的人文关怀。深入开展爱国、励志、感恩、诚信和社会责任感教育，着力培养造就中国特色社会主义事业合格建设者和接班人。</w:t>
      </w:r>
    </w:p>
    <w:p>
      <w:pPr>
        <w:keepNext w:val="0"/>
        <w:keepLines w:val="0"/>
        <w:pageBreakBefore w:val="0"/>
        <w:widowControl w:val="0"/>
        <w:numPr>
          <w:ilvl w:val="0"/>
          <w:numId w:val="2"/>
        </w:numPr>
        <w:kinsoku/>
        <w:wordWrap/>
        <w:overflowPunct/>
        <w:topLinePunct w:val="0"/>
        <w:autoSpaceDE/>
        <w:autoSpaceDN/>
        <w:bidi w:val="0"/>
        <w:adjustRightInd/>
        <w:snapToGrid/>
        <w:ind w:left="0" w:leftChars="0" w:firstLine="642" w:firstLineChars="200"/>
        <w:textAlignment w:val="auto"/>
        <w:rPr>
          <w:rFonts w:hint="eastAsia" w:ascii="仿宋_GB2312" w:hAnsi="仿宋_GB2312" w:eastAsia="仿宋_GB2312" w:cs="仿宋_GB2312"/>
          <w:b/>
          <w:bCs/>
          <w:spacing w:val="0"/>
          <w:sz w:val="32"/>
          <w:szCs w:val="32"/>
          <w:lang w:val="en-US" w:eastAsia="zh-CN"/>
        </w:rPr>
      </w:pPr>
      <w:r>
        <w:rPr>
          <w:rFonts w:hint="eastAsia" w:ascii="仿宋_GB2312" w:hAnsi="仿宋_GB2312" w:eastAsia="仿宋_GB2312" w:cs="仿宋_GB2312"/>
          <w:b/>
          <w:bCs/>
          <w:spacing w:val="0"/>
          <w:sz w:val="32"/>
          <w:szCs w:val="32"/>
          <w:lang w:val="en-US" w:eastAsia="zh-CN"/>
        </w:rPr>
        <w:t>扩大学生资助宣传影响力。</w:t>
      </w:r>
    </w:p>
    <w:p>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b w:val="0"/>
          <w:bCs w:val="0"/>
          <w:spacing w:val="0"/>
          <w:sz w:val="32"/>
          <w:szCs w:val="32"/>
          <w:lang w:val="en-US" w:eastAsia="zh-CN"/>
        </w:rPr>
      </w:pPr>
      <w:r>
        <w:rPr>
          <w:rFonts w:hint="eastAsia" w:ascii="仿宋_GB2312" w:hAnsi="仿宋_GB2312" w:eastAsia="仿宋_GB2312" w:cs="仿宋_GB2312"/>
          <w:spacing w:val="0"/>
          <w:sz w:val="32"/>
          <w:szCs w:val="32"/>
        </w:rPr>
        <w:t>制订了《20</w:t>
      </w:r>
      <w:r>
        <w:rPr>
          <w:rFonts w:hint="eastAsia" w:ascii="仿宋_GB2312" w:hAnsi="仿宋_GB2312" w:eastAsia="仿宋_GB2312" w:cs="仿宋_GB2312"/>
          <w:spacing w:val="0"/>
          <w:sz w:val="32"/>
          <w:szCs w:val="32"/>
          <w:lang w:val="en-US" w:eastAsia="zh-CN"/>
        </w:rPr>
        <w:t>25</w:t>
      </w:r>
      <w:r>
        <w:rPr>
          <w:rFonts w:hint="eastAsia" w:ascii="仿宋_GB2312" w:hAnsi="仿宋_GB2312" w:eastAsia="仿宋_GB2312" w:cs="仿宋_GB2312"/>
          <w:spacing w:val="0"/>
          <w:sz w:val="32"/>
          <w:szCs w:val="32"/>
        </w:rPr>
        <w:t>年三门峡市学生资助宣传工作方案》，</w:t>
      </w:r>
      <w:r>
        <w:rPr>
          <w:rFonts w:hint="eastAsia" w:ascii="仿宋_GB2312" w:hAnsi="仿宋_GB2312" w:eastAsia="仿宋_GB2312" w:cs="仿宋_GB2312"/>
          <w:b w:val="0"/>
          <w:bCs w:val="0"/>
          <w:spacing w:val="0"/>
          <w:sz w:val="32"/>
          <w:szCs w:val="32"/>
          <w:lang w:val="en-US" w:eastAsia="zh-CN"/>
        </w:rPr>
        <w:t>加快推动学生资助宣传领域的媒体融合发展，充分发挥新兴媒体和广播、电视、报刊等传统媒体的宣传作用，积极运用新技术、新手段，全面深入解读学生资助政策，展示学生资助工作成效，讲好三门峡学生资助故事，提升学生资助宣传传播力、引导力和影响力努力做到</w:t>
      </w:r>
      <w:r>
        <w:rPr>
          <w:rFonts w:hint="eastAsia" w:ascii="仿宋_GB2312" w:hAnsi="仿宋_GB2312" w:eastAsia="仿宋_GB2312" w:cs="仿宋_GB2312"/>
          <w:b/>
          <w:bCs/>
          <w:spacing w:val="0"/>
          <w:sz w:val="32"/>
          <w:szCs w:val="32"/>
          <w:lang w:val="en-US" w:eastAsia="zh-CN"/>
        </w:rPr>
        <w:t>“应知尽知”。</w:t>
      </w:r>
      <w:r>
        <w:rPr>
          <w:rFonts w:hint="eastAsia" w:ascii="仿宋_GB2312" w:hAnsi="仿宋_GB2312" w:eastAsia="仿宋_GB2312" w:cs="仿宋_GB2312"/>
          <w:b w:val="0"/>
          <w:bCs w:val="0"/>
          <w:spacing w:val="0"/>
          <w:sz w:val="32"/>
          <w:szCs w:val="32"/>
          <w:lang w:val="en-US" w:eastAsia="zh-CN"/>
        </w:rPr>
        <w:t>落实学生资助宣传长效工作机制，实施好“32211”工程：做好致初中毕业生、高中毕业生的“两封信”发放工作；推动各学校每学年上好“两节课”（秋季学期初和春季学期末各上一节资助政策宣传课），强化各学段之间资助政策有效衔接；组织发放好“两张卡”（学生资助政策明白卡、受助情况温馨告知书）；随录取通知书等入学资料一并发放的“一本”《学生资助政策简介》；常年开通“一条”学生资助热线电话，做好学生资助舆情应对与应急处置工作，稳妥应对突发事件。</w:t>
      </w:r>
      <w:r>
        <w:rPr>
          <w:rFonts w:hint="eastAsia" w:ascii="仿宋_GB2312" w:hAnsi="仿宋_GB2312" w:eastAsia="仿宋_GB2312" w:cs="仿宋_GB2312"/>
          <w:color w:val="000000"/>
          <w:spacing w:val="0"/>
          <w:sz w:val="32"/>
          <w:szCs w:val="32"/>
        </w:rPr>
        <w:t>进一步明确宣传目标、把握宣传重点、卡准宣传节点、丰富宣传形式</w:t>
      </w:r>
      <w:r>
        <w:rPr>
          <w:rFonts w:hint="eastAsia" w:ascii="仿宋_GB2312" w:hAnsi="仿宋_GB2312" w:eastAsia="仿宋_GB2312" w:cs="仿宋_GB2312"/>
          <w:color w:val="000000"/>
          <w:spacing w:val="0"/>
          <w:sz w:val="32"/>
          <w:szCs w:val="32"/>
          <w:lang w:eastAsia="zh-CN"/>
        </w:rPr>
        <w:t>、</w:t>
      </w:r>
      <w:r>
        <w:rPr>
          <w:rFonts w:hint="eastAsia" w:ascii="仿宋_GB2312" w:hAnsi="仿宋_GB2312" w:eastAsia="仿宋_GB2312" w:cs="仿宋_GB2312"/>
          <w:color w:val="000000"/>
          <w:spacing w:val="0"/>
          <w:sz w:val="32"/>
          <w:szCs w:val="32"/>
          <w:lang w:val="en-US" w:eastAsia="zh-CN"/>
        </w:rPr>
        <w:t>提高宣传效果。</w:t>
      </w:r>
    </w:p>
    <w:p>
      <w:pPr>
        <w:keepNext w:val="0"/>
        <w:keepLines w:val="0"/>
        <w:pageBreakBefore w:val="0"/>
        <w:widowControl w:val="0"/>
        <w:numPr>
          <w:ilvl w:val="0"/>
          <w:numId w:val="2"/>
        </w:numPr>
        <w:kinsoku/>
        <w:wordWrap/>
        <w:overflowPunct/>
        <w:topLinePunct w:val="0"/>
        <w:autoSpaceDE/>
        <w:autoSpaceDN/>
        <w:bidi w:val="0"/>
        <w:adjustRightInd/>
        <w:snapToGrid/>
        <w:ind w:left="0" w:leftChars="0" w:firstLine="642" w:firstLineChars="200"/>
        <w:textAlignment w:val="auto"/>
        <w:rPr>
          <w:rFonts w:hint="eastAsia" w:ascii="仿宋_GB2312" w:hAnsi="仿宋_GB2312" w:eastAsia="仿宋_GB2312" w:cs="仿宋_GB2312"/>
          <w:b/>
          <w:bCs/>
          <w:spacing w:val="0"/>
          <w:sz w:val="32"/>
          <w:szCs w:val="32"/>
          <w:lang w:val="en-US" w:eastAsia="zh-CN"/>
        </w:rPr>
      </w:pPr>
      <w:r>
        <w:rPr>
          <w:rFonts w:hint="eastAsia" w:ascii="仿宋_GB2312" w:hAnsi="仿宋_GB2312" w:eastAsia="仿宋_GB2312" w:cs="仿宋_GB2312"/>
          <w:b/>
          <w:bCs/>
          <w:spacing w:val="0"/>
          <w:sz w:val="32"/>
          <w:szCs w:val="32"/>
          <w:lang w:val="en-US" w:eastAsia="zh-CN"/>
        </w:rPr>
        <w:t>加强规范管理与资助队伍建设。</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b w:val="0"/>
          <w:bCs w:val="0"/>
          <w:spacing w:val="0"/>
          <w:sz w:val="32"/>
          <w:szCs w:val="32"/>
          <w:lang w:val="en-US" w:eastAsia="zh-CN"/>
        </w:rPr>
      </w:pPr>
      <w:r>
        <w:rPr>
          <w:rFonts w:hint="eastAsia" w:ascii="仿宋_GB2312" w:hAnsi="仿宋_GB2312" w:eastAsia="仿宋_GB2312" w:cs="仿宋_GB2312"/>
          <w:b w:val="0"/>
          <w:bCs w:val="0"/>
          <w:spacing w:val="0"/>
          <w:sz w:val="32"/>
          <w:szCs w:val="32"/>
          <w:lang w:val="en-US" w:eastAsia="zh-CN"/>
        </w:rPr>
        <w:t>推动各地各校加强学生资助标准化建设，努力实现管理制度规范、监管责任规范、资助程序规范、资金管理规范、信息管理规范、机构队伍建设规范、资助档案规范。继续实施全覆盖的绩效评价机制。分学段、多形式组织开展学生资助业务培训，使资助工作者“应会尽会”</w:t>
      </w:r>
      <w:r>
        <w:rPr>
          <w:rFonts w:hint="eastAsia" w:ascii="仿宋_GB2312" w:hAnsi="仿宋_GB2312" w:eastAsia="仿宋_GB2312" w:cs="仿宋_GB2312"/>
          <w:b/>
          <w:bCs/>
          <w:spacing w:val="0"/>
          <w:sz w:val="32"/>
          <w:szCs w:val="32"/>
          <w:lang w:val="en-US" w:eastAsia="zh-CN"/>
        </w:rPr>
        <w:t>，</w:t>
      </w:r>
      <w:r>
        <w:rPr>
          <w:rFonts w:hint="eastAsia" w:ascii="仿宋_GB2312" w:hAnsi="仿宋_GB2312" w:eastAsia="仿宋_GB2312" w:cs="仿宋_GB2312"/>
          <w:b w:val="0"/>
          <w:bCs w:val="0"/>
          <w:spacing w:val="0"/>
          <w:sz w:val="32"/>
          <w:szCs w:val="32"/>
          <w:lang w:val="en-US" w:eastAsia="zh-CN"/>
        </w:rPr>
        <w:t>不断提升学生资助队伍执行力。不断推动学生资助工作高质量发展，为实现三门峡教育现代化建设提供坚强有力保障。</w:t>
      </w:r>
    </w:p>
    <w:p>
      <w:pPr>
        <w:keepNext w:val="0"/>
        <w:keepLines w:val="0"/>
        <w:pageBreakBefore w:val="0"/>
        <w:widowControl w:val="0"/>
        <w:numPr>
          <w:ilvl w:val="0"/>
          <w:numId w:val="0"/>
        </w:numPr>
        <w:kinsoku/>
        <w:wordWrap/>
        <w:overflowPunct/>
        <w:topLinePunct w:val="0"/>
        <w:autoSpaceDE/>
        <w:autoSpaceDN/>
        <w:bidi w:val="0"/>
        <w:adjustRightInd/>
        <w:snapToGrid/>
        <w:ind w:left="0" w:leftChars="0"/>
        <w:textAlignment w:val="auto"/>
        <w:rPr>
          <w:rFonts w:hint="eastAsia" w:ascii="仿宋_GB2312" w:hAnsi="仿宋_GB2312" w:eastAsia="仿宋_GB2312" w:cs="仿宋_GB2312"/>
          <w:spacing w:val="0"/>
          <w:sz w:val="32"/>
          <w:szCs w:val="32"/>
          <w:lang w:val="en-US" w:eastAsia="zh-CN"/>
        </w:rPr>
      </w:pPr>
    </w:p>
    <w:p>
      <w:pPr>
        <w:keepNext w:val="0"/>
        <w:keepLines w:val="0"/>
        <w:pageBreakBefore w:val="0"/>
        <w:widowControl w:val="0"/>
        <w:kinsoku/>
        <w:wordWrap/>
        <w:overflowPunct/>
        <w:topLinePunct w:val="0"/>
        <w:autoSpaceDE/>
        <w:autoSpaceDN/>
        <w:bidi w:val="0"/>
        <w:adjustRightInd/>
        <w:snapToGrid/>
        <w:ind w:left="0" w:leftChars="0"/>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left="0" w:leftChars="0" w:firstLine="5120" w:firstLineChars="1600"/>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 xml:space="preserve"> 2025年12月9日</w:t>
      </w:r>
    </w:p>
    <w:sectPr>
      <w:headerReference r:id="rId3" w:type="default"/>
      <w:footerReference r:id="rId4" w:type="default"/>
      <w:pgSz w:w="11906" w:h="16838"/>
      <w:pgMar w:top="1440" w:right="1800" w:bottom="1440" w:left="1800" w:header="851" w:footer="992" w:gutter="0"/>
      <w:cols w:space="425" w:num="1"/>
      <w:formProt w:val="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38325D"/>
    <w:multiLevelType w:val="singleLevel"/>
    <w:tmpl w:val="1D38325D"/>
    <w:lvl w:ilvl="0" w:tentative="0">
      <w:start w:val="2"/>
      <w:numFmt w:val="chineseCounting"/>
      <w:suff w:val="nothing"/>
      <w:lvlText w:val="（%1）"/>
      <w:lvlJc w:val="left"/>
      <w:pPr>
        <w:ind w:left="-10"/>
      </w:pPr>
      <w:rPr>
        <w:rFonts w:hint="eastAsia"/>
        <w:b/>
        <w:bCs/>
      </w:rPr>
    </w:lvl>
  </w:abstractNum>
  <w:abstractNum w:abstractNumId="1">
    <w:nsid w:val="6A166986"/>
    <w:multiLevelType w:val="singleLevel"/>
    <w:tmpl w:val="6A166986"/>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true"/>
  <w:bordersDoNotSurroundFooter w:val="true"/>
  <w:documentProtection w:edit="comment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wYWIwZjA5MjU1MTk1Nzg4ZDI5OTMzMjAzYjQxODMifQ=="/>
    <w:docVar w:name="KSO_WPS_MARK_KEY" w:val="a8d102f6-21e2-4453-8943-1bf27e18196c"/>
  </w:docVars>
  <w:rsids>
    <w:rsidRoot w:val="28FD4F8C"/>
    <w:rsid w:val="07B92F3C"/>
    <w:rsid w:val="0B29179E"/>
    <w:rsid w:val="0E4219DB"/>
    <w:rsid w:val="12BF7A06"/>
    <w:rsid w:val="158D108E"/>
    <w:rsid w:val="21A345BC"/>
    <w:rsid w:val="28FD4F8C"/>
    <w:rsid w:val="2AD75EA4"/>
    <w:rsid w:val="2BC12076"/>
    <w:rsid w:val="2EA27501"/>
    <w:rsid w:val="372820AF"/>
    <w:rsid w:val="37E42938"/>
    <w:rsid w:val="43B645D1"/>
    <w:rsid w:val="53FA07B8"/>
    <w:rsid w:val="66295A8E"/>
    <w:rsid w:val="67C4126F"/>
    <w:rsid w:val="682C4AA4"/>
    <w:rsid w:val="6AA936EF"/>
    <w:rsid w:val="6D2B7903"/>
    <w:rsid w:val="7036127C"/>
    <w:rsid w:val="75FD499F"/>
    <w:rsid w:val="76205CB7"/>
    <w:rsid w:val="7A910122"/>
    <w:rsid w:val="7AD13F0B"/>
    <w:rsid w:val="7BB37C24"/>
    <w:rsid w:val="FBFE59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Salutation"/>
    <w:basedOn w:val="1"/>
    <w:next w:val="1"/>
    <w:uiPriority w:val="0"/>
  </w:style>
  <w:style w:type="paragraph" w:styleId="3">
    <w:name w:val="Body Text Indent"/>
    <w:basedOn w:val="1"/>
    <w:qFormat/>
    <w:uiPriority w:val="0"/>
    <w:pPr>
      <w:spacing w:after="120"/>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First Indent 2"/>
    <w:basedOn w:val="3"/>
    <w:qFormat/>
    <w:uiPriority w:val="0"/>
    <w:pPr>
      <w:ind w:firstLine="420" w:firstLineChars="200"/>
    </w:pPr>
    <w:rPr>
      <w:rFonts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1622</Words>
  <Characters>1691</Characters>
  <Lines>0</Lines>
  <Paragraphs>0</Paragraphs>
  <TotalTime>15</TotalTime>
  <ScaleCrop>false</ScaleCrop>
  <LinksUpToDate>false</LinksUpToDate>
  <CharactersWithSpaces>1725</CharactersWithSpaces>
  <Application>WPS Office_11.8.2.10534_F1E327BC-269C-435d-A152-05C5408002CA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2024-12-09T15:46:00Z</dcterms:created>
  <dc:creator>何彦奇</dc:creator>
  <cp:lastModifiedBy>hkws</cp:lastModifiedBy>
  <cp:lastPrinted>2025-12-10T18:00:00Z</cp:lastPrinted>
  <dcterms:modified xsi:type="dcterms:W3CDTF">2026-07-27T15:55:59Z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2052-11.8.2.10534</vt:lpwstr>
  </property>
  <property fmtid="{D5CDD505-2E9C-101B-9397-08002B2CF9AE}" pid="3" name="ICV">
    <vt:lpwstr>700D6639E5884E5D804F00A24F8CB0E1_11</vt:lpwstr>
  </property>
</Properties>
</file>