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val="0"/>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三门峡市司法局</w:t>
      </w:r>
    </w:p>
    <w:p>
      <w:pPr>
        <w:keepNext w:val="0"/>
        <w:keepLines w:val="0"/>
        <w:pageBreakBefore w:val="0"/>
        <w:widowControl w:val="0"/>
        <w:kinsoku/>
        <w:wordWrap/>
        <w:overflowPunct w:val="0"/>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zh-CN" w:eastAsia="zh-CN"/>
        </w:rPr>
        <w:t>关于</w:t>
      </w:r>
      <w:r>
        <w:rPr>
          <w:rFonts w:hint="eastAsia" w:ascii="方正小标宋简体" w:hAnsi="方正小标宋简体" w:eastAsia="方正小标宋简体" w:cs="方正小标宋简体"/>
          <w:b w:val="0"/>
          <w:bCs w:val="0"/>
          <w:color w:val="auto"/>
          <w:sz w:val="44"/>
          <w:szCs w:val="44"/>
          <w:lang w:val="en-US" w:eastAsia="zh-CN"/>
        </w:rPr>
        <w:t>征求《三门峡市传统村落保护利用条例》</w:t>
      </w:r>
    </w:p>
    <w:p>
      <w:pPr>
        <w:keepNext w:val="0"/>
        <w:keepLines w:val="0"/>
        <w:pageBreakBefore w:val="0"/>
        <w:widowControl w:val="0"/>
        <w:kinsoku/>
        <w:wordWrap/>
        <w:overflowPunct w:val="0"/>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val="0"/>
          <w:color w:val="auto"/>
          <w:sz w:val="44"/>
          <w:szCs w:val="44"/>
          <w:lang w:val="zh-CN" w:eastAsia="zh-CN"/>
        </w:rPr>
      </w:pPr>
      <w:r>
        <w:rPr>
          <w:rFonts w:hint="eastAsia" w:ascii="方正小标宋简体" w:hAnsi="方正小标宋简体" w:eastAsia="方正小标宋简体" w:cs="方正小标宋简体"/>
          <w:b w:val="0"/>
          <w:bCs w:val="0"/>
          <w:color w:val="auto"/>
          <w:sz w:val="44"/>
          <w:szCs w:val="44"/>
          <w:lang w:val="en-US" w:eastAsia="zh-CN"/>
        </w:rPr>
        <w:t>（草案送审稿）修改意见</w:t>
      </w:r>
      <w:r>
        <w:rPr>
          <w:rFonts w:hint="eastAsia" w:ascii="方正小标宋简体" w:hAnsi="方正小标宋简体" w:eastAsia="方正小标宋简体" w:cs="方正小标宋简体"/>
          <w:b w:val="0"/>
          <w:bCs w:val="0"/>
          <w:color w:val="auto"/>
          <w:sz w:val="44"/>
          <w:szCs w:val="44"/>
          <w:lang w:val="zh-CN" w:eastAsia="zh-CN"/>
        </w:rPr>
        <w:t>的公告</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宋体" w:eastAsia="仿宋_GB2312" w:cs="宋体"/>
          <w:color w:val="22222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CESI仿宋-GB2312" w:hAnsi="CESI仿宋-GB2312" w:eastAsia="CESI仿宋-GB2312" w:cs="CESI仿宋-GB2312"/>
          <w:color w:val="auto"/>
          <w:sz w:val="32"/>
          <w:szCs w:val="32"/>
          <w:lang w:eastAsia="zh-CN"/>
        </w:rPr>
        <w:t>为了加强传统村落保护和利用，维护村落传统风貌，传承优秀历史文化遗产，推进美丽乡村建设，促进乡村振兴，</w:t>
      </w:r>
      <w:r>
        <w:rPr>
          <w:rFonts w:hint="eastAsia" w:ascii="仿宋_GB2312" w:hAnsi="Tahoma" w:eastAsia="仿宋_GB2312" w:cs="Times New Roman"/>
          <w:kern w:val="0"/>
          <w:sz w:val="32"/>
          <w:szCs w:val="32"/>
          <w:lang w:val="en-US" w:eastAsia="zh-CN"/>
        </w:rPr>
        <w:t>按照三门峡市人大常委会立法安排，</w:t>
      </w:r>
      <w:r>
        <w:rPr>
          <w:rFonts w:hint="eastAsia" w:ascii="Times New Roman" w:hAnsi="Times New Roman" w:eastAsia="仿宋_GB2312" w:cs="Times New Roman"/>
          <w:sz w:val="32"/>
          <w:szCs w:val="32"/>
          <w:lang w:val="en-US" w:eastAsia="zh-CN"/>
        </w:rPr>
        <w:t>市住房和城乡建设局</w:t>
      </w:r>
      <w:r>
        <w:rPr>
          <w:rFonts w:hint="default" w:ascii="Times New Roman" w:hAnsi="Times New Roman" w:eastAsia="仿宋_GB2312" w:cs="Times New Roman"/>
          <w:sz w:val="32"/>
          <w:szCs w:val="32"/>
          <w:lang w:val="en-US" w:eastAsia="zh-Hans"/>
        </w:rPr>
        <w:t>起草了</w:t>
      </w:r>
      <w:r>
        <w:rPr>
          <w:rFonts w:hint="eastAsia" w:ascii="Times New Roman" w:hAnsi="Times New Roman" w:eastAsia="仿宋_GB2312" w:cs="Times New Roman"/>
          <w:sz w:val="32"/>
          <w:szCs w:val="32"/>
          <w:lang w:val="en-US" w:eastAsia="zh-CN"/>
        </w:rPr>
        <w:t>《三门峡市传统村落保护利用条例》（草案送审稿）及其起草说明，现将《三门峡市传统村落保护利用条例》（草案送审稿）向社会公开征求意见，以便进一步研究、修改完善。欢迎大家提出您们的宝贵意见，请于</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月</w:t>
      </w:r>
      <w:r>
        <w:rPr>
          <w:rFonts w:hint="default" w:ascii="Times New Roman" w:hAnsi="Times New Roman" w:eastAsia="仿宋_GB2312" w:cs="Times New Roman"/>
          <w:sz w:val="32"/>
          <w:szCs w:val="32"/>
          <w:lang w:val="en" w:eastAsia="zh-CN"/>
        </w:rPr>
        <w:t>26</w:t>
      </w:r>
      <w:r>
        <w:rPr>
          <w:rFonts w:hint="default" w:ascii="Times New Roman" w:hAnsi="Times New Roman" w:eastAsia="仿宋_GB2312" w:cs="Times New Roman"/>
          <w:sz w:val="32"/>
          <w:szCs w:val="32"/>
          <w:lang w:val="en-US" w:eastAsia="zh-CN"/>
        </w:rPr>
        <w:t>日</w:t>
      </w:r>
      <w:r>
        <w:rPr>
          <w:rFonts w:hint="eastAsia" w:ascii="Times New Roman" w:hAnsi="Times New Roman" w:eastAsia="仿宋_GB2312" w:cs="Times New Roman"/>
          <w:sz w:val="32"/>
          <w:szCs w:val="32"/>
          <w:lang w:val="en-US" w:eastAsia="zh-CN"/>
        </w:rPr>
        <w:t>12时</w:t>
      </w:r>
      <w:r>
        <w:rPr>
          <w:rFonts w:hint="default" w:ascii="Times New Roman" w:hAnsi="Times New Roman" w:eastAsia="仿宋_GB2312" w:cs="Times New Roman"/>
          <w:sz w:val="32"/>
          <w:szCs w:val="32"/>
          <w:lang w:val="en-US" w:eastAsia="zh-CN"/>
        </w:rPr>
        <w:t>前，将意见建议通过电子邮件、传真或者信函等形式，反馈至三门峡市司法局立法科（202房间）。</w:t>
      </w:r>
    </w:p>
    <w:p>
      <w:pPr>
        <w:keepNext w:val="0"/>
        <w:keepLines w:val="0"/>
        <w:pageBreakBefore w:val="0"/>
        <w:widowControl w:val="0"/>
        <w:kinsoku/>
        <w:wordWrap/>
        <w:overflowPunct/>
        <w:topLinePunct w:val="0"/>
        <w:autoSpaceDE/>
        <w:autoSpaceDN/>
        <w:bidi w:val="0"/>
        <w:adjustRightInd/>
        <w:snapToGrid w:val="0"/>
        <w:spacing w:line="60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联系电话（传真）：0398-2817103</w:t>
      </w:r>
    </w:p>
    <w:p>
      <w:pPr>
        <w:keepNext w:val="0"/>
        <w:keepLines w:val="0"/>
        <w:pageBreakBefore w:val="0"/>
        <w:widowControl w:val="0"/>
        <w:kinsoku/>
        <w:wordWrap/>
        <w:overflowPunct/>
        <w:topLinePunct w:val="0"/>
        <w:autoSpaceDE/>
        <w:autoSpaceDN/>
        <w:bidi w:val="0"/>
        <w:adjustRightInd/>
        <w:snapToGrid w:val="0"/>
        <w:spacing w:line="60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电子邮箱：</w:t>
      </w: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"mailto:smxsfjlfk@163.com%EF%BC%8C" \o "smxsfjlfk@163.com"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lang w:val="en-US" w:eastAsia="zh-CN"/>
        </w:rPr>
        <w:t>smxsfjlfk@163.com</w:t>
      </w:r>
      <w:r>
        <w:rPr>
          <w:rFonts w:hint="default" w:ascii="Times New Roman" w:hAnsi="Times New Roman" w:eastAsia="仿宋_GB2312" w:cs="Times New Roman"/>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val="0"/>
        <w:spacing w:line="60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邮 编：472000</w:t>
      </w:r>
    </w:p>
    <w:p>
      <w:pPr>
        <w:keepNext w:val="0"/>
        <w:keepLines w:val="0"/>
        <w:pageBreakBefore w:val="0"/>
        <w:widowControl w:val="0"/>
        <w:kinsoku/>
        <w:wordWrap/>
        <w:overflowPunct/>
        <w:topLinePunct w:val="0"/>
        <w:autoSpaceDE/>
        <w:autoSpaceDN/>
        <w:bidi w:val="0"/>
        <w:adjustRightInd/>
        <w:snapToGrid w:val="0"/>
        <w:spacing w:line="60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来信地址：三门峡市司法局（三门峡市湖滨区崤山路中段永兴街）</w:t>
      </w:r>
    </w:p>
    <w:p>
      <w:pPr>
        <w:keepNext w:val="0"/>
        <w:keepLines w:val="0"/>
        <w:pageBreakBefore w:val="0"/>
        <w:widowControl w:val="0"/>
        <w:kinsoku/>
        <w:wordWrap/>
        <w:overflowPunct/>
        <w:topLinePunct w:val="0"/>
        <w:autoSpaceDE/>
        <w:autoSpaceDN/>
        <w:bidi w:val="0"/>
        <w:adjustRightInd/>
        <w:snapToGrid w:val="0"/>
        <w:spacing w:line="600" w:lineRule="exact"/>
        <w:ind w:firstLine="64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ind w:firstLine="64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ind w:firstLine="4812" w:firstLineChars="1504"/>
        <w:jc w:val="both"/>
        <w:textAlignment w:val="auto"/>
        <w:rPr>
          <w:rFonts w:hint="eastAsia"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before="0" w:after="0" w:line="600" w:lineRule="exact"/>
        <w:ind w:firstLine="0" w:firstLineChars="0"/>
        <w:jc w:val="center"/>
        <w:textAlignment w:val="auto"/>
        <w:rPr>
          <w:rFonts w:hint="eastAsia" w:eastAsia="文星标宋"/>
          <w:sz w:val="44"/>
          <w:szCs w:val="44"/>
        </w:rPr>
      </w:pPr>
      <w:r>
        <w:rPr>
          <w:rFonts w:hint="eastAsia" w:eastAsia="文星标宋"/>
          <w:sz w:val="44"/>
          <w:szCs w:val="44"/>
        </w:rPr>
        <w:t>三门峡市传统村落保护利用条例</w:t>
      </w:r>
    </w:p>
    <w:p>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eastAsia="仿宋_GB2312"/>
          <w:sz w:val="32"/>
          <w:szCs w:val="32"/>
        </w:rPr>
      </w:pPr>
      <w:r>
        <w:rPr>
          <w:rFonts w:hint="eastAsia" w:eastAsia="仿宋_GB2312"/>
          <w:sz w:val="32"/>
          <w:szCs w:val="32"/>
        </w:rPr>
        <w:t>（草案送审稿）</w:t>
      </w:r>
    </w:p>
    <w:p>
      <w:pPr>
        <w:keepNext w:val="0"/>
        <w:keepLines w:val="0"/>
        <w:pageBreakBefore w:val="0"/>
        <w:widowControl w:val="0"/>
        <w:kinsoku/>
        <w:wordWrap/>
        <w:overflowPunct/>
        <w:topLinePunct w:val="0"/>
        <w:autoSpaceDE/>
        <w:autoSpaceDN/>
        <w:bidi w:val="0"/>
        <w:adjustRightInd/>
        <w:snapToGrid/>
        <w:spacing w:before="0" w:after="0" w:line="600" w:lineRule="exact"/>
        <w:textAlignment w:val="auto"/>
        <w:rPr>
          <w:rFonts w:hint="eastAsia" w:eastAsia="仿宋_GB2312"/>
          <w:sz w:val="32"/>
          <w:szCs w:val="32"/>
        </w:rPr>
      </w:pPr>
    </w:p>
    <w:p>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eastAsia="仿宋_GB2312"/>
          <w:sz w:val="32"/>
          <w:szCs w:val="32"/>
        </w:rPr>
      </w:pPr>
      <w:r>
        <w:rPr>
          <w:rFonts w:hint="eastAsia" w:eastAsia="黑体"/>
          <w:sz w:val="32"/>
          <w:szCs w:val="32"/>
        </w:rPr>
        <w:t>第一条【</w:t>
      </w:r>
      <w:r>
        <w:rPr>
          <w:rFonts w:hint="eastAsia" w:eastAsia="仿宋_GB2312"/>
          <w:b/>
          <w:sz w:val="32"/>
          <w:szCs w:val="32"/>
        </w:rPr>
        <w:t>立法目的</w:t>
      </w:r>
      <w:r>
        <w:rPr>
          <w:rFonts w:hint="eastAsia" w:eastAsia="黑体"/>
          <w:sz w:val="32"/>
          <w:szCs w:val="32"/>
        </w:rPr>
        <w:t>】</w:t>
      </w:r>
      <w:r>
        <w:rPr>
          <w:rFonts w:hint="eastAsia" w:eastAsia="黑体"/>
          <w:sz w:val="32"/>
          <w:szCs w:val="32"/>
          <w:lang w:val="en-US" w:eastAsia="zh-CN"/>
        </w:rPr>
        <w:t xml:space="preserve"> </w:t>
      </w:r>
      <w:r>
        <w:rPr>
          <w:rFonts w:hint="eastAsia" w:eastAsia="仿宋_GB2312"/>
          <w:sz w:val="32"/>
          <w:szCs w:val="32"/>
        </w:rPr>
        <w:t>为了加强传统村落保护和利用，维护村落传统风貌，传承优秀历史文化遗产，推进美丽乡村建设，促进乡村振兴，根据有关法律、法规，结合本市实际，制定本条例。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eastAsia="仿宋_GB2312"/>
          <w:sz w:val="32"/>
          <w:szCs w:val="32"/>
        </w:rPr>
      </w:pPr>
      <w:r>
        <w:rPr>
          <w:rFonts w:hint="eastAsia" w:eastAsia="黑体"/>
          <w:sz w:val="32"/>
          <w:szCs w:val="32"/>
        </w:rPr>
        <w:t>第二条【</w:t>
      </w:r>
      <w:r>
        <w:rPr>
          <w:rFonts w:hint="eastAsia" w:eastAsia="仿宋_GB2312"/>
          <w:b/>
          <w:sz w:val="32"/>
          <w:szCs w:val="32"/>
        </w:rPr>
        <w:t>适用范围</w:t>
      </w:r>
      <w:r>
        <w:rPr>
          <w:rFonts w:hint="eastAsia" w:eastAsia="仿宋_GB2312"/>
          <w:sz w:val="32"/>
          <w:szCs w:val="32"/>
        </w:rPr>
        <w:t>】  本市行政区域内传统村落保护和利用，适用本条例。</w:t>
      </w:r>
    </w:p>
    <w:p>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eastAsia="仿宋_GB2312"/>
          <w:sz w:val="32"/>
          <w:szCs w:val="32"/>
        </w:rPr>
      </w:pPr>
      <w:r>
        <w:rPr>
          <w:rFonts w:hint="eastAsia" w:eastAsia="仿宋_GB2312"/>
          <w:sz w:val="32"/>
          <w:szCs w:val="32"/>
        </w:rPr>
        <w:t>本条例所称的传统村落，是指拥有物质形态和非物质形态文化遗产，具有较高的历史、文化、科学、艺术、社会、经济价值，列入国家级、省级传统村落名录的村落。</w:t>
      </w:r>
    </w:p>
    <w:p>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eastAsia="仿宋_GB2312"/>
          <w:sz w:val="32"/>
          <w:szCs w:val="32"/>
        </w:rPr>
      </w:pPr>
      <w:r>
        <w:rPr>
          <w:rFonts w:hint="eastAsia" w:eastAsia="仿宋_GB2312"/>
          <w:sz w:val="32"/>
          <w:szCs w:val="32"/>
        </w:rPr>
        <w:t>传统村落保护范围内涉及文物、历史建筑、非物质形态文化遗产、红色遗址遗迹和历史文化名村等保护，依照相关法律法规执行。</w:t>
      </w:r>
    </w:p>
    <w:p>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eastAsia="仿宋_GB2312"/>
          <w:sz w:val="32"/>
          <w:szCs w:val="32"/>
        </w:rPr>
      </w:pPr>
      <w:r>
        <w:rPr>
          <w:rFonts w:hint="eastAsia" w:eastAsia="黑体"/>
          <w:sz w:val="32"/>
          <w:szCs w:val="32"/>
        </w:rPr>
        <w:t>第三条【</w:t>
      </w:r>
      <w:r>
        <w:rPr>
          <w:rFonts w:hint="eastAsia" w:eastAsia="仿宋_GB2312"/>
          <w:b/>
          <w:sz w:val="32"/>
          <w:szCs w:val="32"/>
        </w:rPr>
        <w:t>遵循原则</w:t>
      </w:r>
      <w:r>
        <w:rPr>
          <w:rFonts w:hint="eastAsia" w:eastAsia="仿宋_GB2312"/>
          <w:sz w:val="32"/>
          <w:szCs w:val="32"/>
        </w:rPr>
        <w:t>】  传统村落保护应当遵循政府引导、村民主体、规划先行、保护优先、合理利用、活态传承的原则。</w:t>
      </w:r>
    </w:p>
    <w:p>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eastAsia="仿宋_GB2312"/>
          <w:sz w:val="32"/>
          <w:szCs w:val="32"/>
        </w:rPr>
      </w:pPr>
      <w:r>
        <w:rPr>
          <w:rFonts w:hint="eastAsia" w:eastAsia="黑体"/>
          <w:sz w:val="32"/>
          <w:szCs w:val="32"/>
        </w:rPr>
        <w:t>第四条【</w:t>
      </w:r>
      <w:r>
        <w:rPr>
          <w:rFonts w:hint="eastAsia" w:eastAsia="仿宋_GB2312"/>
          <w:b/>
          <w:sz w:val="32"/>
          <w:szCs w:val="32"/>
        </w:rPr>
        <w:t>政府职责</w:t>
      </w:r>
      <w:r>
        <w:rPr>
          <w:rFonts w:hint="eastAsia" w:eastAsia="仿宋_GB2312"/>
          <w:sz w:val="32"/>
          <w:szCs w:val="32"/>
        </w:rPr>
        <w:t>】  市、县（市、区）人民政府应当将传统村落保护和利用纳入国民经济和社会发展规划，健全传统村落保护工作协调机制，解决传统村落保护和利用中的重大问题。</w:t>
      </w:r>
    </w:p>
    <w:p>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eastAsia="仿宋_GB2312"/>
          <w:sz w:val="32"/>
          <w:szCs w:val="32"/>
        </w:rPr>
      </w:pPr>
      <w:r>
        <w:rPr>
          <w:rFonts w:hint="eastAsia" w:eastAsia="仿宋_GB2312"/>
          <w:sz w:val="32"/>
          <w:szCs w:val="32"/>
        </w:rPr>
        <w:t>市、县（市、区）人民政府应当将传统村落保护经费列入本级财政预算，统筹整合相关资金，支持传统村落保护发展。</w:t>
      </w:r>
    </w:p>
    <w:p>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eastAsia="仿宋_GB2312"/>
          <w:sz w:val="32"/>
          <w:szCs w:val="32"/>
        </w:rPr>
      </w:pPr>
      <w:r>
        <w:rPr>
          <w:rFonts w:hint="eastAsia" w:eastAsia="黑体"/>
          <w:sz w:val="32"/>
          <w:szCs w:val="32"/>
        </w:rPr>
        <w:t>第五条【</w:t>
      </w:r>
      <w:r>
        <w:rPr>
          <w:rFonts w:hint="eastAsia" w:eastAsia="仿宋_GB2312"/>
          <w:b/>
          <w:sz w:val="32"/>
          <w:szCs w:val="32"/>
        </w:rPr>
        <w:t>部门职责</w:t>
      </w:r>
      <w:r>
        <w:rPr>
          <w:rFonts w:hint="eastAsia" w:eastAsia="仿宋_GB2312"/>
          <w:sz w:val="32"/>
          <w:szCs w:val="32"/>
        </w:rPr>
        <w:t>】  市、县（市、区）人民政府住房城乡建设主管部门负责对本行政区域内传统村落保护和利用工作的指导、监督和管理。农业农村、文化广电旅游、自然资源规划、发展改革、财政、消防救援、公安等有关部门按照各自职责，做好传统村落保护和利用相关工作。</w:t>
      </w:r>
    </w:p>
    <w:p>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eastAsia="仿宋_GB2312"/>
          <w:sz w:val="32"/>
          <w:szCs w:val="32"/>
        </w:rPr>
      </w:pPr>
      <w:r>
        <w:rPr>
          <w:rFonts w:hint="eastAsia" w:eastAsia="黑体"/>
          <w:sz w:val="32"/>
          <w:szCs w:val="32"/>
        </w:rPr>
        <w:t>第六条【</w:t>
      </w:r>
      <w:r>
        <w:rPr>
          <w:rFonts w:hint="eastAsia" w:eastAsia="仿宋_GB2312"/>
          <w:b/>
          <w:sz w:val="32"/>
          <w:szCs w:val="32"/>
        </w:rPr>
        <w:t>乡镇职责</w:t>
      </w:r>
      <w:r>
        <w:rPr>
          <w:rFonts w:hint="eastAsia" w:eastAsia="仿宋_GB2312"/>
          <w:sz w:val="32"/>
          <w:szCs w:val="32"/>
        </w:rPr>
        <w:t>】  传统村落所在地乡（镇）人民政府、街道办事处应当履行下列职责：</w:t>
      </w:r>
    </w:p>
    <w:p>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eastAsia="仿宋_GB2312"/>
          <w:sz w:val="32"/>
          <w:szCs w:val="32"/>
        </w:rPr>
      </w:pPr>
      <w:r>
        <w:rPr>
          <w:rFonts w:hint="eastAsia" w:eastAsia="仿宋_GB2312"/>
          <w:sz w:val="32"/>
          <w:szCs w:val="32"/>
        </w:rPr>
        <w:t>（一）组织编制并实施传统村落保护发展规划；</w:t>
      </w:r>
    </w:p>
    <w:p>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eastAsia="仿宋_GB2312"/>
          <w:sz w:val="32"/>
          <w:szCs w:val="32"/>
        </w:rPr>
      </w:pPr>
      <w:r>
        <w:rPr>
          <w:rFonts w:hint="eastAsia" w:eastAsia="仿宋_GB2312"/>
          <w:sz w:val="32"/>
          <w:szCs w:val="32"/>
        </w:rPr>
        <w:t>（二）制定并组织实施传统村落保护发展方案；</w:t>
      </w:r>
    </w:p>
    <w:p>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eastAsia="仿宋_GB2312"/>
          <w:sz w:val="32"/>
          <w:szCs w:val="32"/>
        </w:rPr>
      </w:pPr>
      <w:r>
        <w:rPr>
          <w:rFonts w:hint="eastAsia" w:eastAsia="仿宋_GB2312"/>
          <w:sz w:val="32"/>
          <w:szCs w:val="32"/>
        </w:rPr>
        <w:t>（三）完善传统村落基础设施、公共服务设施，修复传统风貌，合理利用村落资源，改善人居环境；</w:t>
      </w:r>
    </w:p>
    <w:p>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eastAsia="仿宋_GB2312"/>
          <w:sz w:val="32"/>
          <w:szCs w:val="32"/>
        </w:rPr>
      </w:pPr>
      <w:r>
        <w:rPr>
          <w:rFonts w:hint="eastAsia" w:eastAsia="仿宋_GB2312"/>
          <w:sz w:val="32"/>
          <w:szCs w:val="32"/>
        </w:rPr>
        <w:t>（四）做好传统村落消防安全工作；</w:t>
      </w:r>
    </w:p>
    <w:p>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eastAsia="仿宋_GB2312"/>
          <w:sz w:val="32"/>
          <w:szCs w:val="32"/>
        </w:rPr>
      </w:pPr>
      <w:r>
        <w:rPr>
          <w:rFonts w:hint="eastAsia" w:eastAsia="仿宋_GB2312"/>
          <w:sz w:val="32"/>
          <w:szCs w:val="32"/>
        </w:rPr>
        <w:t>（五）指导、监督村民委员会做好传统村落保护利用工作；</w:t>
      </w:r>
    </w:p>
    <w:p>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eastAsia="仿宋_GB2312"/>
          <w:sz w:val="32"/>
          <w:szCs w:val="32"/>
        </w:rPr>
      </w:pPr>
      <w:r>
        <w:rPr>
          <w:rFonts w:hint="eastAsia" w:eastAsia="仿宋_GB2312"/>
          <w:sz w:val="32"/>
          <w:szCs w:val="32"/>
        </w:rPr>
        <w:t>（六）法律、法规规定的其他职责。</w:t>
      </w:r>
    </w:p>
    <w:p>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eastAsia="仿宋_GB2312"/>
          <w:sz w:val="32"/>
          <w:szCs w:val="32"/>
        </w:rPr>
      </w:pPr>
      <w:r>
        <w:rPr>
          <w:rFonts w:hint="eastAsia" w:eastAsia="黑体"/>
          <w:sz w:val="32"/>
          <w:szCs w:val="32"/>
        </w:rPr>
        <w:t>第七条【</w:t>
      </w:r>
      <w:r>
        <w:rPr>
          <w:rFonts w:hint="eastAsia" w:eastAsia="仿宋_GB2312"/>
          <w:b/>
          <w:sz w:val="32"/>
          <w:szCs w:val="32"/>
        </w:rPr>
        <w:t>村委职责</w:t>
      </w:r>
      <w:r>
        <w:rPr>
          <w:rFonts w:hint="eastAsia" w:eastAsia="仿宋_GB2312"/>
          <w:sz w:val="32"/>
          <w:szCs w:val="32"/>
        </w:rPr>
        <w:t>】  传统村落所在地村民委员会履行下列职责：</w:t>
      </w:r>
    </w:p>
    <w:p>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eastAsia="仿宋_GB2312"/>
          <w:sz w:val="32"/>
          <w:szCs w:val="32"/>
        </w:rPr>
      </w:pPr>
      <w:r>
        <w:rPr>
          <w:rFonts w:hint="eastAsia" w:eastAsia="仿宋_GB2312"/>
          <w:sz w:val="32"/>
          <w:szCs w:val="32"/>
        </w:rPr>
        <w:t>（一）参与传统村落保护发展规划的编制与实施；</w:t>
      </w:r>
    </w:p>
    <w:p>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eastAsia="仿宋_GB2312"/>
          <w:sz w:val="32"/>
          <w:szCs w:val="32"/>
        </w:rPr>
      </w:pPr>
      <w:r>
        <w:rPr>
          <w:rFonts w:hint="eastAsia" w:eastAsia="仿宋_GB2312"/>
          <w:sz w:val="32"/>
          <w:szCs w:val="32"/>
        </w:rPr>
        <w:t>（二）将传统村落保护事项纳入村规民约；</w:t>
      </w:r>
    </w:p>
    <w:p>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eastAsia="仿宋_GB2312"/>
          <w:sz w:val="32"/>
          <w:szCs w:val="32"/>
        </w:rPr>
      </w:pPr>
      <w:r>
        <w:rPr>
          <w:rFonts w:hint="eastAsia" w:eastAsia="仿宋_GB2312"/>
          <w:sz w:val="32"/>
          <w:szCs w:val="32"/>
        </w:rPr>
        <w:t>（三）对有损毁危险的传统建筑进行登记，对已经坍塌、散落的传统建筑构件进行收集、保护，并及时向乡（镇）人民政府、街道办事处报告；</w:t>
      </w:r>
    </w:p>
    <w:p>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eastAsia="仿宋_GB2312"/>
          <w:sz w:val="32"/>
          <w:szCs w:val="32"/>
        </w:rPr>
      </w:pPr>
      <w:r>
        <w:rPr>
          <w:rFonts w:hint="eastAsia" w:eastAsia="仿宋_GB2312"/>
          <w:sz w:val="32"/>
          <w:szCs w:val="32"/>
        </w:rPr>
        <w:t>（四）组织村民开展乡村文化活动，弘扬优秀传统民风民俗；</w:t>
      </w:r>
    </w:p>
    <w:p>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eastAsia="仿宋_GB2312"/>
          <w:sz w:val="32"/>
          <w:szCs w:val="32"/>
        </w:rPr>
      </w:pPr>
      <w:r>
        <w:rPr>
          <w:rFonts w:hint="eastAsia" w:eastAsia="仿宋_GB2312"/>
          <w:sz w:val="32"/>
          <w:szCs w:val="32"/>
        </w:rPr>
        <w:t>（五）对违反传统村落保护相关规定的行为进行劝阻和制止，并及时向乡（镇）人民政府、街道办事处报告；</w:t>
      </w:r>
    </w:p>
    <w:p>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eastAsia="仿宋_GB2312"/>
          <w:sz w:val="32"/>
          <w:szCs w:val="32"/>
        </w:rPr>
      </w:pPr>
      <w:r>
        <w:rPr>
          <w:rFonts w:hint="eastAsia" w:eastAsia="仿宋_GB2312"/>
          <w:sz w:val="32"/>
          <w:szCs w:val="32"/>
        </w:rPr>
        <w:t>（六）法律、法规规定的其他职责。</w:t>
      </w:r>
    </w:p>
    <w:p>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eastAsia="仿宋_GB2312"/>
          <w:sz w:val="32"/>
          <w:szCs w:val="32"/>
        </w:rPr>
      </w:pPr>
      <w:r>
        <w:rPr>
          <w:rFonts w:hint="eastAsia" w:eastAsia="黑体"/>
          <w:sz w:val="32"/>
          <w:szCs w:val="32"/>
        </w:rPr>
        <w:t>第八条【</w:t>
      </w:r>
      <w:r>
        <w:rPr>
          <w:rFonts w:hint="eastAsia" w:eastAsia="仿宋_GB2312"/>
          <w:b/>
          <w:sz w:val="32"/>
          <w:szCs w:val="32"/>
        </w:rPr>
        <w:t>宣传教育</w:t>
      </w:r>
      <w:r>
        <w:rPr>
          <w:rFonts w:hint="eastAsia" w:eastAsia="仿宋_GB2312"/>
          <w:sz w:val="32"/>
          <w:szCs w:val="32"/>
        </w:rPr>
        <w:t>】  市、县（市、区）、乡（镇）人民政府应当组织开展传统村落保护的宣传教育活动，普及保护知识，增强全社会保护意识。</w:t>
      </w:r>
    </w:p>
    <w:p>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eastAsia="仿宋_GB2312"/>
          <w:sz w:val="32"/>
          <w:szCs w:val="32"/>
        </w:rPr>
      </w:pPr>
      <w:r>
        <w:rPr>
          <w:rFonts w:hint="eastAsia" w:eastAsia="黑体"/>
          <w:sz w:val="32"/>
          <w:szCs w:val="32"/>
        </w:rPr>
        <w:t>第九条【</w:t>
      </w:r>
      <w:r>
        <w:rPr>
          <w:rFonts w:hint="eastAsia" w:eastAsia="仿宋_GB2312"/>
          <w:b/>
          <w:sz w:val="32"/>
          <w:szCs w:val="32"/>
        </w:rPr>
        <w:t>规划审批程序</w:t>
      </w:r>
      <w:r>
        <w:rPr>
          <w:rFonts w:hint="eastAsia" w:eastAsia="仿宋_GB2312"/>
          <w:sz w:val="32"/>
          <w:szCs w:val="32"/>
        </w:rPr>
        <w:t>】  传统村落所在地乡（镇）人民政府应当自传统村落名录公布之日起一年内，组织编制完成传统村落保护发展规划，报县（市、区）人民政府审批。</w:t>
      </w:r>
    </w:p>
    <w:p>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eastAsia="仿宋_GB2312"/>
          <w:sz w:val="32"/>
          <w:szCs w:val="32"/>
        </w:rPr>
      </w:pPr>
      <w:r>
        <w:rPr>
          <w:rFonts w:hint="eastAsia" w:eastAsia="仿宋_GB2312"/>
          <w:sz w:val="32"/>
          <w:szCs w:val="32"/>
        </w:rPr>
        <w:t>编制保护发展规划应当经村民会议或者村民代表会议讨论同意，由乡（镇）人民政府进行公示，公示期不少于三十日。</w:t>
      </w:r>
    </w:p>
    <w:p>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eastAsia="仿宋_GB2312"/>
          <w:sz w:val="32"/>
          <w:szCs w:val="32"/>
        </w:rPr>
      </w:pPr>
      <w:r>
        <w:rPr>
          <w:rFonts w:hint="eastAsia" w:eastAsia="仿宋_GB2312"/>
          <w:sz w:val="32"/>
          <w:szCs w:val="32"/>
        </w:rPr>
        <w:t>保护发展规划报送审批前，应当按照有关规定报相关部门组织技术审查。</w:t>
      </w:r>
    </w:p>
    <w:p>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eastAsia="仿宋_GB2312"/>
          <w:sz w:val="32"/>
          <w:szCs w:val="32"/>
        </w:rPr>
      </w:pPr>
      <w:r>
        <w:rPr>
          <w:rFonts w:hint="eastAsia" w:eastAsia="仿宋_GB2312"/>
          <w:sz w:val="32"/>
          <w:szCs w:val="32"/>
        </w:rPr>
        <w:t>保护发展规划经批准后，传统村落所在地县（市、区）人民政府应当自批准之日起十日内向社会公布。</w:t>
      </w:r>
    </w:p>
    <w:p>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eastAsia="仿宋_GB2312"/>
          <w:sz w:val="32"/>
          <w:szCs w:val="32"/>
        </w:rPr>
      </w:pPr>
      <w:r>
        <w:rPr>
          <w:rFonts w:hint="eastAsia" w:eastAsia="黑体"/>
          <w:sz w:val="32"/>
          <w:szCs w:val="32"/>
        </w:rPr>
        <w:t>第十条【</w:t>
      </w:r>
      <w:r>
        <w:rPr>
          <w:rFonts w:hint="eastAsia" w:eastAsia="仿宋_GB2312"/>
          <w:b/>
          <w:sz w:val="32"/>
          <w:szCs w:val="32"/>
        </w:rPr>
        <w:t>规划内容要求</w:t>
      </w:r>
      <w:r>
        <w:rPr>
          <w:rFonts w:hint="eastAsia" w:eastAsia="仿宋_GB2312"/>
          <w:sz w:val="32"/>
          <w:szCs w:val="32"/>
        </w:rPr>
        <w:t>】  传统村落保护发展规划应当确定保护措施，划定保护范围，明确控制要求；安排村庄基础设施和公共服务设施建设和整治项目；明确传统要素资源利用方式；提出传承发展传统生产生活的措施。</w:t>
      </w:r>
    </w:p>
    <w:p>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eastAsia="仿宋_GB2312"/>
          <w:sz w:val="32"/>
          <w:szCs w:val="32"/>
        </w:rPr>
      </w:pPr>
      <w:r>
        <w:rPr>
          <w:rFonts w:hint="eastAsia" w:eastAsia="仿宋_GB2312"/>
          <w:sz w:val="32"/>
          <w:szCs w:val="32"/>
        </w:rPr>
        <w:t>保护发展规划应当符合乡镇国土空间规划，并与村庄规划和文化旅游、文物保护、生态环境保护、乡村建设等专项规划相衔接。</w:t>
      </w:r>
    </w:p>
    <w:p>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eastAsia="仿宋_GB2312"/>
          <w:sz w:val="32"/>
          <w:szCs w:val="32"/>
        </w:rPr>
      </w:pPr>
      <w:r>
        <w:rPr>
          <w:rFonts w:hint="eastAsia" w:eastAsia="黑体"/>
          <w:sz w:val="32"/>
          <w:szCs w:val="32"/>
        </w:rPr>
        <w:t>第十一条【</w:t>
      </w:r>
      <w:r>
        <w:rPr>
          <w:rFonts w:hint="eastAsia" w:eastAsia="仿宋_GB2312"/>
          <w:b/>
          <w:sz w:val="32"/>
          <w:szCs w:val="32"/>
        </w:rPr>
        <w:t>规划修改规定</w:t>
      </w:r>
      <w:r>
        <w:rPr>
          <w:rFonts w:hint="eastAsia" w:eastAsia="仿宋_GB2312"/>
          <w:sz w:val="32"/>
          <w:szCs w:val="32"/>
        </w:rPr>
        <w:t>】  经依法批准的传统村落保护发展规划不得擅自修改。</w:t>
      </w:r>
    </w:p>
    <w:p>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eastAsia="仿宋_GB2312"/>
          <w:sz w:val="32"/>
          <w:szCs w:val="32"/>
        </w:rPr>
      </w:pPr>
      <w:r>
        <w:rPr>
          <w:rFonts w:hint="eastAsia" w:eastAsia="仿宋_GB2312"/>
          <w:sz w:val="32"/>
          <w:szCs w:val="32"/>
        </w:rPr>
        <w:t>具有下列情形之一，确需修改保护发展规划的，应当按照原审批程序报送审批：</w:t>
      </w:r>
    </w:p>
    <w:p>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eastAsia="仿宋_GB2312"/>
          <w:sz w:val="32"/>
          <w:szCs w:val="32"/>
        </w:rPr>
      </w:pPr>
      <w:r>
        <w:rPr>
          <w:rFonts w:hint="eastAsia" w:eastAsia="仿宋_GB2312"/>
          <w:sz w:val="32"/>
          <w:szCs w:val="32"/>
        </w:rPr>
        <w:t>（一）保护发展规划所依据的法律、法规或者上位规划发生调整，影响原规划实施的；</w:t>
      </w:r>
    </w:p>
    <w:p>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eastAsia="仿宋_GB2312"/>
          <w:sz w:val="32"/>
          <w:szCs w:val="32"/>
        </w:rPr>
      </w:pPr>
      <w:r>
        <w:rPr>
          <w:rFonts w:hint="eastAsia" w:eastAsia="仿宋_GB2312"/>
          <w:sz w:val="32"/>
          <w:szCs w:val="32"/>
        </w:rPr>
        <w:t>（二）因自然灾害或者不可抗力等原因，致使保护发展规划的内容需要作出重大调整的；</w:t>
      </w:r>
    </w:p>
    <w:p>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eastAsia="仿宋_GB2312"/>
          <w:sz w:val="32"/>
          <w:szCs w:val="32"/>
        </w:rPr>
      </w:pPr>
      <w:r>
        <w:rPr>
          <w:rFonts w:hint="eastAsia" w:eastAsia="仿宋_GB2312"/>
          <w:sz w:val="32"/>
          <w:szCs w:val="32"/>
        </w:rPr>
        <w:t>（三）因国家、省重大工程建设确需修改的；</w:t>
      </w:r>
    </w:p>
    <w:p>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eastAsia="仿宋_GB2312"/>
          <w:sz w:val="32"/>
          <w:szCs w:val="32"/>
        </w:rPr>
      </w:pPr>
      <w:r>
        <w:rPr>
          <w:rFonts w:hint="eastAsia" w:eastAsia="仿宋_GB2312"/>
          <w:sz w:val="32"/>
          <w:szCs w:val="32"/>
        </w:rPr>
        <w:t>（四）经县级以上人民政府评估确需修改的。</w:t>
      </w:r>
    </w:p>
    <w:p>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eastAsia="仿宋_GB2312"/>
          <w:sz w:val="32"/>
          <w:szCs w:val="32"/>
        </w:rPr>
      </w:pPr>
      <w:r>
        <w:rPr>
          <w:rFonts w:hint="eastAsia" w:eastAsia="黑体"/>
          <w:sz w:val="32"/>
          <w:szCs w:val="32"/>
        </w:rPr>
        <w:t>第十二条【</w:t>
      </w:r>
      <w:r>
        <w:rPr>
          <w:rFonts w:hint="eastAsia" w:eastAsia="仿宋_GB2312"/>
          <w:b/>
          <w:sz w:val="32"/>
          <w:szCs w:val="32"/>
        </w:rPr>
        <w:t>建立档案</w:t>
      </w:r>
      <w:r>
        <w:rPr>
          <w:rFonts w:hint="eastAsia" w:eastAsia="仿宋_GB2312"/>
          <w:sz w:val="32"/>
          <w:szCs w:val="32"/>
        </w:rPr>
        <w:t>】  市、县（市、区）人民政府住房城乡建设主管部门应当会同自然资源规划、文化广电旅游等部门做好传统村落调查工作，按照“一村一档”制作传统村落档案。</w:t>
      </w:r>
    </w:p>
    <w:p>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eastAsia="仿宋_GB2312"/>
          <w:sz w:val="32"/>
          <w:szCs w:val="32"/>
        </w:rPr>
      </w:pPr>
      <w:r>
        <w:rPr>
          <w:rFonts w:hint="eastAsia" w:eastAsia="仿宋_GB2312"/>
          <w:sz w:val="32"/>
          <w:szCs w:val="32"/>
        </w:rPr>
        <w:t>鼓励和支持传统村落数字化建设，并结合本地实际建设传统村落数字博物馆。</w:t>
      </w:r>
    </w:p>
    <w:p>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eastAsia="仿宋_GB2312"/>
          <w:sz w:val="32"/>
          <w:szCs w:val="32"/>
        </w:rPr>
      </w:pPr>
      <w:r>
        <w:rPr>
          <w:rFonts w:hint="eastAsia" w:eastAsia="黑体"/>
          <w:sz w:val="32"/>
          <w:szCs w:val="32"/>
        </w:rPr>
        <w:t>第十三条【</w:t>
      </w:r>
      <w:r>
        <w:rPr>
          <w:rFonts w:hint="eastAsia" w:eastAsia="仿宋_GB2312"/>
          <w:b/>
          <w:sz w:val="32"/>
          <w:szCs w:val="32"/>
        </w:rPr>
        <w:t>挂牌保护</w:t>
      </w:r>
      <w:r>
        <w:rPr>
          <w:rFonts w:hint="eastAsia" w:eastAsia="仿宋_GB2312"/>
          <w:sz w:val="32"/>
          <w:szCs w:val="32"/>
        </w:rPr>
        <w:t>】  县（市、区）人民政府应当按照国家和省相关要求在传统村落主要入口统一设置传统村落的保护标志。在重点场所对该传统村落主要历史遗存、非物质形态文化遗产进行宣传介绍，并对文物古迹、历史建筑、传统建筑、古路桥涵、古井古塘、古树名木、非物质文化遗产保护传承相关场所等保护对象实行挂牌保护。</w:t>
      </w:r>
    </w:p>
    <w:p>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eastAsia="仿宋_GB2312"/>
          <w:sz w:val="32"/>
          <w:szCs w:val="32"/>
        </w:rPr>
      </w:pPr>
      <w:r>
        <w:rPr>
          <w:rFonts w:hint="eastAsia" w:eastAsia="仿宋_GB2312"/>
          <w:sz w:val="32"/>
          <w:szCs w:val="32"/>
        </w:rPr>
        <w:t>任何单位和个人不得擅自设置、移动、涂改或者损毁标志牌。</w:t>
      </w:r>
    </w:p>
    <w:p>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eastAsia="仿宋_GB2312"/>
          <w:sz w:val="32"/>
          <w:szCs w:val="32"/>
        </w:rPr>
      </w:pPr>
      <w:r>
        <w:rPr>
          <w:rFonts w:hint="eastAsia" w:eastAsia="黑体"/>
          <w:sz w:val="32"/>
          <w:szCs w:val="32"/>
        </w:rPr>
        <w:t>第十四条【</w:t>
      </w:r>
      <w:r>
        <w:rPr>
          <w:rFonts w:hint="eastAsia" w:eastAsia="仿宋_GB2312"/>
          <w:b/>
          <w:sz w:val="32"/>
          <w:szCs w:val="32"/>
        </w:rPr>
        <w:t>整体保护</w:t>
      </w:r>
      <w:r>
        <w:rPr>
          <w:rFonts w:hint="eastAsia" w:eastAsia="仿宋_GB2312"/>
          <w:sz w:val="32"/>
          <w:szCs w:val="32"/>
        </w:rPr>
        <w:t>】  传统村落应当实行整体保护，保持村落空间和生态环境的完整性，鼓励村民在传统村落内居住，维护传统村落文化遗产形态、内涵和村民生产生活的真实性、延续性。</w:t>
      </w:r>
    </w:p>
    <w:p>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eastAsia="仿宋_GB2312"/>
          <w:sz w:val="32"/>
          <w:szCs w:val="32"/>
        </w:rPr>
      </w:pPr>
      <w:r>
        <w:rPr>
          <w:rFonts w:hint="eastAsia" w:eastAsia="仿宋_GB2312"/>
          <w:sz w:val="32"/>
          <w:szCs w:val="32"/>
        </w:rPr>
        <w:t>传统建筑、古路古桥、古井古塘、古树名木等应当保持原有的传统格局和历史风貌，不得改变与其相互依存的自然景观和环境。</w:t>
      </w:r>
    </w:p>
    <w:p>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eastAsia="仿宋_GB2312"/>
          <w:sz w:val="32"/>
          <w:szCs w:val="32"/>
        </w:rPr>
      </w:pPr>
      <w:r>
        <w:rPr>
          <w:rFonts w:hint="eastAsia" w:eastAsia="黑体"/>
          <w:sz w:val="32"/>
          <w:szCs w:val="32"/>
        </w:rPr>
        <w:t>第十五条【</w:t>
      </w:r>
      <w:r>
        <w:rPr>
          <w:rFonts w:hint="eastAsia" w:eastAsia="仿宋_GB2312"/>
          <w:b/>
          <w:sz w:val="32"/>
          <w:szCs w:val="32"/>
        </w:rPr>
        <w:t>分区保护</w:t>
      </w:r>
      <w:r>
        <w:rPr>
          <w:rFonts w:hint="eastAsia" w:eastAsia="仿宋_GB2312"/>
          <w:sz w:val="32"/>
          <w:szCs w:val="32"/>
        </w:rPr>
        <w:t>】  传统村落保护范围应当划分为核心保护区、建设控制地带和环境协调区，实行分区保护。</w:t>
      </w:r>
    </w:p>
    <w:p>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eastAsia="仿宋_GB2312"/>
          <w:sz w:val="32"/>
          <w:szCs w:val="32"/>
        </w:rPr>
      </w:pPr>
      <w:r>
        <w:rPr>
          <w:rFonts w:hint="eastAsia" w:eastAsia="仿宋_GB2312"/>
          <w:sz w:val="32"/>
          <w:szCs w:val="32"/>
        </w:rPr>
        <w:t>核心保护区内，除必要的基础设施和公共服务设施外，禁止擅自进行新建、扩建活动。改建、修缮、外部装饰装修建（构）筑物、设置标识等，应当保持材料、体量、风格、色彩与传统村落整体风貌协调一致。</w:t>
      </w:r>
    </w:p>
    <w:p>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eastAsia="仿宋_GB2312"/>
          <w:sz w:val="32"/>
          <w:szCs w:val="32"/>
        </w:rPr>
      </w:pPr>
      <w:r>
        <w:rPr>
          <w:rFonts w:hint="eastAsia" w:eastAsia="仿宋_GB2312"/>
          <w:sz w:val="32"/>
          <w:szCs w:val="32"/>
        </w:rPr>
        <w:t>建设控制地带内，新建、改建、扩建、修缮、外部装饰装修建（构）筑物等，应当保持材料、体量、风格、色彩与传统村落整体风貌协调一致，禁止影响核心保护区轮廓线和视觉通廊。</w:t>
      </w:r>
    </w:p>
    <w:p>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eastAsia="仿宋_GB2312"/>
          <w:sz w:val="32"/>
          <w:szCs w:val="32"/>
        </w:rPr>
      </w:pPr>
      <w:r>
        <w:rPr>
          <w:rFonts w:hint="eastAsia" w:eastAsia="仿宋_GB2312"/>
          <w:sz w:val="32"/>
          <w:szCs w:val="32"/>
        </w:rPr>
        <w:t>环境协调区内，新建、改建、扩建房屋的，应当根据传统村落保护发展规划总体要求，做好自然环境控制，为核心保护区和建设控制地带提供良好的保护屏障和景观背景。</w:t>
      </w:r>
    </w:p>
    <w:p>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eastAsia="仿宋_GB2312"/>
          <w:sz w:val="32"/>
          <w:szCs w:val="32"/>
        </w:rPr>
      </w:pPr>
      <w:r>
        <w:rPr>
          <w:rFonts w:hint="eastAsia" w:eastAsia="黑体"/>
          <w:sz w:val="32"/>
          <w:szCs w:val="32"/>
        </w:rPr>
        <w:t>第十六条【</w:t>
      </w:r>
      <w:r>
        <w:rPr>
          <w:rFonts w:hint="eastAsia" w:eastAsia="仿宋_GB2312"/>
          <w:b/>
          <w:sz w:val="32"/>
          <w:szCs w:val="32"/>
        </w:rPr>
        <w:t>禁止行为</w:t>
      </w:r>
      <w:r>
        <w:rPr>
          <w:rFonts w:hint="eastAsia" w:eastAsia="仿宋_GB2312"/>
          <w:sz w:val="32"/>
          <w:szCs w:val="32"/>
        </w:rPr>
        <w:t>】  在传统村落保护范围内禁止下列行为：</w:t>
      </w:r>
    </w:p>
    <w:p>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eastAsia="仿宋_GB2312"/>
          <w:sz w:val="32"/>
          <w:szCs w:val="32"/>
        </w:rPr>
      </w:pPr>
      <w:r>
        <w:rPr>
          <w:rFonts w:hint="eastAsia" w:eastAsia="仿宋_GB2312"/>
          <w:sz w:val="32"/>
          <w:szCs w:val="32"/>
        </w:rPr>
        <w:t>（一）擅自拆除、迁建传统建筑；</w:t>
      </w:r>
    </w:p>
    <w:p>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eastAsia="仿宋_GB2312"/>
          <w:sz w:val="32"/>
          <w:szCs w:val="32"/>
        </w:rPr>
      </w:pPr>
      <w:r>
        <w:rPr>
          <w:rFonts w:hint="eastAsia" w:eastAsia="仿宋_GB2312"/>
          <w:sz w:val="32"/>
          <w:szCs w:val="32"/>
        </w:rPr>
        <w:t>（二）拆卸传统建筑的构件；</w:t>
      </w:r>
    </w:p>
    <w:p>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eastAsia="仿宋_GB2312"/>
          <w:sz w:val="32"/>
          <w:szCs w:val="32"/>
        </w:rPr>
      </w:pPr>
      <w:r>
        <w:rPr>
          <w:rFonts w:hint="eastAsia" w:eastAsia="仿宋_GB2312"/>
          <w:sz w:val="32"/>
          <w:szCs w:val="32"/>
        </w:rPr>
        <w:t>（三）破坏传统建筑的整体风貌；</w:t>
      </w:r>
    </w:p>
    <w:p>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eastAsia="仿宋_GB2312"/>
          <w:sz w:val="32"/>
          <w:szCs w:val="32"/>
        </w:rPr>
      </w:pPr>
      <w:r>
        <w:rPr>
          <w:rFonts w:hint="eastAsia" w:eastAsia="仿宋_GB2312"/>
          <w:sz w:val="32"/>
          <w:szCs w:val="32"/>
        </w:rPr>
        <w:t>（四）在传统建筑内生产、储存、经营易燃性、爆炸性、毒害性、放射性和腐蚀性等物品；</w:t>
      </w:r>
    </w:p>
    <w:p>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eastAsia="仿宋_GB2312"/>
          <w:sz w:val="32"/>
          <w:szCs w:val="32"/>
        </w:rPr>
      </w:pPr>
      <w:r>
        <w:rPr>
          <w:rFonts w:hint="eastAsia" w:eastAsia="仿宋_GB2312"/>
          <w:sz w:val="32"/>
          <w:szCs w:val="32"/>
        </w:rPr>
        <w:t>（五）在村庄规划区内未依法取得乡村建设规划许可证或者未按照乡村建设规划许可证的规定进行建设；</w:t>
      </w:r>
    </w:p>
    <w:p>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eastAsia="仿宋_GB2312"/>
          <w:sz w:val="32"/>
          <w:szCs w:val="32"/>
        </w:rPr>
      </w:pPr>
      <w:r>
        <w:rPr>
          <w:rFonts w:hint="eastAsia" w:eastAsia="仿宋_GB2312"/>
          <w:sz w:val="32"/>
          <w:szCs w:val="32"/>
        </w:rPr>
        <w:t>（六）法律、法规禁止的其他行为。</w:t>
      </w:r>
    </w:p>
    <w:p>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eastAsia="仿宋_GB2312"/>
          <w:sz w:val="32"/>
          <w:szCs w:val="32"/>
        </w:rPr>
      </w:pPr>
      <w:r>
        <w:rPr>
          <w:rFonts w:hint="eastAsia" w:eastAsia="黑体"/>
          <w:sz w:val="32"/>
          <w:szCs w:val="32"/>
        </w:rPr>
        <w:t>第十七条【</w:t>
      </w:r>
      <w:r>
        <w:rPr>
          <w:rFonts w:hint="eastAsia" w:eastAsia="仿宋_GB2312"/>
          <w:b/>
          <w:sz w:val="32"/>
          <w:szCs w:val="32"/>
        </w:rPr>
        <w:t>维护修缮</w:t>
      </w:r>
      <w:r>
        <w:rPr>
          <w:rFonts w:hint="eastAsia" w:eastAsia="仿宋_GB2312"/>
          <w:sz w:val="32"/>
          <w:szCs w:val="32"/>
        </w:rPr>
        <w:t>】  传统村落保护范围内传统建筑的安全、维护和修缮由所有权人负责，所有权人与使用权人另有约定的，从其约定。传统建筑有灭失危险，所有权人或者使用权人不具备维护修缮能力的，由传统村落所在地乡镇人民政府组织抢救修缮。</w:t>
      </w:r>
    </w:p>
    <w:p>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eastAsia="仿宋_GB2312"/>
          <w:sz w:val="32"/>
          <w:szCs w:val="32"/>
        </w:rPr>
      </w:pPr>
      <w:r>
        <w:rPr>
          <w:rFonts w:hint="eastAsia" w:eastAsia="仿宋_GB2312"/>
          <w:sz w:val="32"/>
          <w:szCs w:val="32"/>
        </w:rPr>
        <w:t>传统建筑的所有权人或者使用权人自筹资金修缮传统建筑的，县（市、区）人民政府可以给予适当财政补助。</w:t>
      </w:r>
    </w:p>
    <w:p>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eastAsia="仿宋_GB2312"/>
          <w:sz w:val="32"/>
          <w:szCs w:val="32"/>
        </w:rPr>
      </w:pPr>
      <w:r>
        <w:rPr>
          <w:rFonts w:hint="eastAsia" w:eastAsia="仿宋_GB2312"/>
          <w:sz w:val="32"/>
          <w:szCs w:val="32"/>
        </w:rPr>
        <w:t>传统建筑所有权人下落不明，又无法定继承人或者合法代理人的，由传统建筑所在地村民委员会进行公告认领，公告满一年无人认领的，由传统建筑所在地村民委员会代管。代管期间，原产权人认领的，经审查属实，予以返还。代管期间的经营收益扣除保护管理成本后，由原产权人享有。</w:t>
      </w:r>
    </w:p>
    <w:p>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eastAsia="仿宋_GB2312"/>
          <w:sz w:val="32"/>
          <w:szCs w:val="32"/>
        </w:rPr>
      </w:pPr>
      <w:r>
        <w:rPr>
          <w:rFonts w:hint="eastAsia" w:eastAsia="黑体"/>
          <w:sz w:val="32"/>
          <w:szCs w:val="32"/>
        </w:rPr>
        <w:t>第十八条【</w:t>
      </w:r>
      <w:r>
        <w:rPr>
          <w:rFonts w:hint="eastAsia" w:eastAsia="仿宋_GB2312"/>
          <w:b/>
          <w:sz w:val="32"/>
          <w:szCs w:val="32"/>
        </w:rPr>
        <w:t>修缮原则</w:t>
      </w:r>
      <w:r>
        <w:rPr>
          <w:rFonts w:hint="eastAsia" w:eastAsia="仿宋_GB2312"/>
          <w:sz w:val="32"/>
          <w:szCs w:val="32"/>
        </w:rPr>
        <w:t>】  传统村落保护范围内传统建筑的维护修缮应当遵循修旧如旧的原则。</w:t>
      </w:r>
    </w:p>
    <w:p>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eastAsia="仿宋_GB2312"/>
          <w:sz w:val="32"/>
          <w:szCs w:val="32"/>
        </w:rPr>
      </w:pPr>
      <w:r>
        <w:rPr>
          <w:rFonts w:hint="eastAsia" w:eastAsia="仿宋_GB2312"/>
          <w:sz w:val="32"/>
          <w:szCs w:val="32"/>
        </w:rPr>
        <w:t>传统建筑的维护修缮，鼓励采用传统工艺、传统技术、传统材料，保持传统建筑原有的平面布局、空间特征和建筑特色。在保证结构安全和保持传统风貌、建筑形式不变的前提下，可以改善传统建筑通风采光、节能保温、给排水、环境卫生等生活设施，改善居住条件，提高人居环境品质。</w:t>
      </w:r>
    </w:p>
    <w:p>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eastAsia="仿宋_GB2312"/>
          <w:sz w:val="32"/>
          <w:szCs w:val="32"/>
        </w:rPr>
      </w:pPr>
      <w:r>
        <w:rPr>
          <w:rFonts w:hint="eastAsia" w:eastAsia="黑体"/>
          <w:sz w:val="32"/>
          <w:szCs w:val="32"/>
        </w:rPr>
        <w:t>第十九条【</w:t>
      </w:r>
      <w:r>
        <w:rPr>
          <w:rFonts w:hint="eastAsia" w:eastAsia="仿宋_GB2312"/>
          <w:b/>
          <w:sz w:val="32"/>
          <w:szCs w:val="32"/>
        </w:rPr>
        <w:t>产业发展</w:t>
      </w:r>
      <w:r>
        <w:rPr>
          <w:rFonts w:hint="eastAsia" w:eastAsia="仿宋_GB2312"/>
          <w:sz w:val="32"/>
          <w:szCs w:val="32"/>
        </w:rPr>
        <w:t>】  市、县（市、区）人民政府应当将传统村落保护发展与乡村振兴相融合，立足本地实际，在延续传统生产生活方式的基础上，挖掘非物质文化遗产，利用古民居、地坑院、剪纸、饮食等传统村落历史文化资源，推动文化和旅游深度融合。积极发展特色农业、健康养老、文化创意、民俗展示、民宿、研学、电商等产业，合理布局新产业新业态，打造特色品牌，激发传统村落活力。</w:t>
      </w:r>
    </w:p>
    <w:p>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eastAsia="仿宋_GB2312"/>
          <w:sz w:val="32"/>
          <w:szCs w:val="32"/>
        </w:rPr>
      </w:pPr>
      <w:r>
        <w:rPr>
          <w:rFonts w:hint="eastAsia" w:eastAsia="仿宋_GB2312"/>
          <w:sz w:val="32"/>
          <w:szCs w:val="32"/>
        </w:rPr>
        <w:t>市、县（市、区）人民政府应当将传统村落纳入本地旅游发展规划和乡村旅游规划，支持有条件的传统村落发展乡村旅游。</w:t>
      </w:r>
    </w:p>
    <w:p>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eastAsia="仿宋_GB2312"/>
          <w:sz w:val="32"/>
          <w:szCs w:val="32"/>
        </w:rPr>
        <w:sectPr>
          <w:headerReference r:id="rId3" w:type="default"/>
          <w:footerReference r:id="rId5" w:type="default"/>
          <w:headerReference r:id="rId4" w:type="even"/>
          <w:footerReference r:id="rId6" w:type="even"/>
          <w:footnotePr>
            <w:numFmt w:val="decimalHalfWidth"/>
          </w:footnotePr>
          <w:endnotePr>
            <w:numFmt w:val="chineseCounting"/>
          </w:endnotePr>
          <w:pgSz w:w="11905" w:h="16837"/>
          <w:pgMar w:top="2097" w:right="1474" w:bottom="1984" w:left="1587" w:header="566" w:footer="1133" w:gutter="0"/>
          <w:pgNumType w:fmt="decimal"/>
          <w:cols w:space="720" w:num="1"/>
        </w:sectPr>
      </w:pPr>
      <w:r>
        <w:rPr>
          <w:rFonts w:hint="eastAsia" w:eastAsia="黑体"/>
          <w:sz w:val="32"/>
          <w:szCs w:val="32"/>
        </w:rPr>
        <w:t>第二十条【</w:t>
      </w:r>
      <w:r>
        <w:rPr>
          <w:rFonts w:hint="eastAsia" w:eastAsia="仿宋_GB2312"/>
          <w:b/>
          <w:sz w:val="32"/>
          <w:szCs w:val="32"/>
        </w:rPr>
        <w:t>社会参与</w:t>
      </w:r>
      <w:r>
        <w:rPr>
          <w:rFonts w:hint="eastAsia" w:eastAsia="仿宋_GB2312"/>
          <w:sz w:val="32"/>
          <w:szCs w:val="32"/>
        </w:rPr>
        <w:t>】  鼓励单位和个人依法通过投资、捐</w:t>
      </w:r>
    </w:p>
    <w:p>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eastAsia="仿宋_GB2312"/>
          <w:sz w:val="32"/>
          <w:szCs w:val="32"/>
        </w:rPr>
      </w:pPr>
      <w:r>
        <w:rPr>
          <w:rFonts w:hint="eastAsia" w:eastAsia="仿宋_GB2312"/>
          <w:sz w:val="32"/>
          <w:szCs w:val="32"/>
        </w:rPr>
        <w:t>赠、租赁、入股、设立基金和提供技术服务等方式，参与传统村落保护和利用；鼓励和支持成立传统村落保护志愿服务组织。</w:t>
      </w:r>
    </w:p>
    <w:p>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eastAsia="仿宋_GB2312"/>
          <w:sz w:val="32"/>
          <w:szCs w:val="32"/>
        </w:rPr>
      </w:pPr>
      <w:r>
        <w:rPr>
          <w:rFonts w:hint="eastAsia" w:eastAsia="仿宋_GB2312"/>
          <w:sz w:val="32"/>
          <w:szCs w:val="32"/>
        </w:rPr>
        <w:t>鼓励和支持传统村落村民依法以农村土地的经营权、传统建筑、房屋、资金、劳务等入股的方式参与传统村落保护发展。</w:t>
      </w:r>
    </w:p>
    <w:p>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eastAsia="仿宋_GB2312"/>
          <w:sz w:val="32"/>
          <w:szCs w:val="32"/>
        </w:rPr>
      </w:pPr>
      <w:r>
        <w:rPr>
          <w:rFonts w:hint="eastAsia" w:eastAsia="黑体"/>
          <w:sz w:val="32"/>
          <w:szCs w:val="32"/>
        </w:rPr>
        <w:t>第二十一条【</w:t>
      </w:r>
      <w:r>
        <w:rPr>
          <w:rFonts w:hint="eastAsia" w:eastAsia="仿宋_GB2312"/>
          <w:b/>
          <w:sz w:val="32"/>
          <w:szCs w:val="32"/>
        </w:rPr>
        <w:t>常态化监管</w:t>
      </w:r>
      <w:r>
        <w:rPr>
          <w:rFonts w:hint="eastAsia" w:eastAsia="仿宋_GB2312"/>
          <w:sz w:val="32"/>
          <w:szCs w:val="32"/>
        </w:rPr>
        <w:t>】  市、县（市、区）人民政府住房城乡建设主管部门应当会同自然资源规划、文化广电旅游等部门建立传统村落常态化监督管理机制，对传统村落的保护状况和规划实施进行跟踪监测。</w:t>
      </w:r>
    </w:p>
    <w:p>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eastAsia="仿宋_GB2312"/>
          <w:sz w:val="32"/>
          <w:szCs w:val="32"/>
        </w:rPr>
      </w:pPr>
      <w:r>
        <w:rPr>
          <w:rFonts w:hint="eastAsia" w:eastAsia="黑体"/>
          <w:sz w:val="32"/>
          <w:szCs w:val="32"/>
        </w:rPr>
        <w:t>第二十二条【</w:t>
      </w:r>
      <w:r>
        <w:rPr>
          <w:rFonts w:hint="eastAsia" w:eastAsia="仿宋_GB2312"/>
          <w:b/>
          <w:sz w:val="32"/>
          <w:szCs w:val="32"/>
        </w:rPr>
        <w:t>法律责任</w:t>
      </w:r>
      <w:r>
        <w:rPr>
          <w:rFonts w:hint="eastAsia" w:eastAsia="仿宋_GB2312"/>
          <w:sz w:val="32"/>
          <w:szCs w:val="32"/>
        </w:rPr>
        <w:t>】  违反本条例规定的行为，法律、法规、规章对法律责任已有规定的，从其规定。</w:t>
      </w:r>
    </w:p>
    <w:p>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eastAsia="仿宋_GB2312"/>
          <w:sz w:val="32"/>
          <w:szCs w:val="32"/>
        </w:rPr>
      </w:pPr>
      <w:r>
        <w:rPr>
          <w:rFonts w:hint="eastAsia" w:eastAsia="黑体"/>
          <w:sz w:val="32"/>
          <w:szCs w:val="32"/>
        </w:rPr>
        <w:t>第二十三条【</w:t>
      </w:r>
      <w:r>
        <w:rPr>
          <w:rFonts w:hint="eastAsia" w:eastAsia="仿宋_GB2312"/>
          <w:b/>
          <w:sz w:val="32"/>
          <w:szCs w:val="32"/>
        </w:rPr>
        <w:t>违法建设查处</w:t>
      </w:r>
      <w:r>
        <w:rPr>
          <w:rFonts w:hint="eastAsia" w:eastAsia="仿宋_GB2312"/>
          <w:sz w:val="32"/>
          <w:szCs w:val="32"/>
        </w:rPr>
        <w:t>】  违反本条例第十六条第五项规定，在村庄规划区内未依法取得乡村建设规划许可证或者未按照乡村建设规划许可证的规定进行建设的，由乡镇人民政府责令停止建设、限期改正；逾期不改正的，可以拆除。</w:t>
      </w:r>
    </w:p>
    <w:p>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eastAsia="仿宋_GB2312"/>
          <w:sz w:val="32"/>
          <w:szCs w:val="32"/>
        </w:rPr>
      </w:pPr>
      <w:r>
        <w:rPr>
          <w:rFonts w:hint="eastAsia" w:eastAsia="黑体"/>
          <w:sz w:val="32"/>
          <w:szCs w:val="32"/>
        </w:rPr>
        <w:t>第二十四条【</w:t>
      </w:r>
      <w:r>
        <w:rPr>
          <w:rFonts w:hint="eastAsia" w:eastAsia="仿宋_GB2312"/>
          <w:b/>
          <w:sz w:val="32"/>
          <w:szCs w:val="32"/>
        </w:rPr>
        <w:t>工作人员违法查处</w:t>
      </w:r>
      <w:r>
        <w:rPr>
          <w:rFonts w:hint="eastAsia" w:eastAsia="仿宋_GB2312"/>
          <w:sz w:val="32"/>
          <w:szCs w:val="32"/>
        </w:rPr>
        <w:t>】  各级人民政府、住房城乡建设主管部门和其他有关部门及其工作人员玩忽职守、滥用职权、徇私舞弊的，依法给予行政处分；构成犯罪的，依法追究刑事责任。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eastAsia="仿宋_GB2312"/>
          <w:sz w:val="32"/>
          <w:szCs w:val="32"/>
        </w:rPr>
      </w:pPr>
      <w:r>
        <w:rPr>
          <w:rFonts w:hint="eastAsia" w:eastAsia="黑体"/>
          <w:sz w:val="32"/>
          <w:szCs w:val="32"/>
        </w:rPr>
        <w:t>第二十五条【</w:t>
      </w:r>
      <w:r>
        <w:rPr>
          <w:rFonts w:hint="eastAsia" w:eastAsia="仿宋_GB2312"/>
          <w:b/>
          <w:sz w:val="32"/>
          <w:szCs w:val="32"/>
        </w:rPr>
        <w:t>传统建筑定义</w:t>
      </w:r>
      <w:r>
        <w:rPr>
          <w:rFonts w:hint="eastAsia" w:eastAsia="仿宋_GB2312"/>
          <w:sz w:val="32"/>
          <w:szCs w:val="32"/>
        </w:rPr>
        <w:t>】  本条例所称传统建筑，是指使用传统材料、具有传统形制、运用传统工艺建造，建成年代较早，具有一定历史、文化、科学、艺术、社会等价值，能够反映特定时期传统风貌、民族和地方特色，未公布为不可移动文物或者历史建筑的建（构）筑物。</w:t>
      </w:r>
    </w:p>
    <w:p>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eastAsia="仿宋_GB2312"/>
          <w:sz w:val="32"/>
          <w:szCs w:val="32"/>
        </w:rPr>
      </w:pPr>
      <w:r>
        <w:rPr>
          <w:rFonts w:hint="eastAsia" w:eastAsia="黑体"/>
          <w:sz w:val="32"/>
          <w:szCs w:val="32"/>
        </w:rPr>
        <w:t>第二十六条【</w:t>
      </w:r>
      <w:r>
        <w:rPr>
          <w:rFonts w:hint="eastAsia" w:eastAsia="仿宋_GB2312"/>
          <w:b/>
          <w:sz w:val="32"/>
          <w:szCs w:val="32"/>
        </w:rPr>
        <w:t>实施时间</w:t>
      </w:r>
      <w:r>
        <w:rPr>
          <w:rFonts w:hint="eastAsia" w:eastAsia="仿宋_GB2312"/>
          <w:sz w:val="32"/>
          <w:szCs w:val="32"/>
        </w:rPr>
        <w:t>】  本条例自202 年 月 日起施行。</w:t>
      </w:r>
    </w:p>
    <w:p>
      <w:pPr>
        <w:pStyle w:val="2"/>
        <w:keepNext w:val="0"/>
        <w:keepLines w:val="0"/>
        <w:pageBreakBefore w:val="0"/>
        <w:widowControl w:val="0"/>
        <w:kinsoku/>
        <w:wordWrap/>
        <w:overflowPunct/>
        <w:topLinePunct w:val="0"/>
        <w:autoSpaceDE/>
        <w:autoSpaceDN/>
        <w:bidi w:val="0"/>
        <w:adjustRightInd/>
        <w:snapToGrid/>
        <w:ind w:left="0" w:leftChars="0" w:firstLine="520" w:firstLineChars="200"/>
        <w:textAlignment w:val="auto"/>
        <w:rPr>
          <w:rFonts w:hint="eastAsia"/>
          <w:lang w:val="zh-CN" w:eastAsia="zh-CN"/>
        </w:rPr>
      </w:pPr>
    </w:p>
    <w:sectPr>
      <w:footerReference r:id="rId7" w:type="default"/>
      <w:pgSz w:w="11906" w:h="16838"/>
      <w:pgMar w:top="2098" w:right="1474" w:bottom="1984" w:left="1587" w:header="851" w:footer="1151" w:gutter="0"/>
      <w:pgBorders>
        <w:top w:val="none" w:sz="0" w:space="0"/>
        <w:left w:val="none" w:sz="0" w:space="0"/>
        <w:bottom w:val="none" w:sz="0" w:space="0"/>
        <w:right w:val="none" w:sz="0" w:space="0"/>
      </w:pgBorders>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Verdana">
    <w:altName w:val="Ubuntu"/>
    <w:panose1 w:val="020B0604030504040204"/>
    <w:charset w:val="00"/>
    <w:family w:val="auto"/>
    <w:pitch w:val="default"/>
    <w:sig w:usb0="00000000" w:usb1="00000000" w:usb2="00000010" w:usb3="00000000" w:csb0="2000019F"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Tahoma">
    <w:altName w:val="DejaVu Sans"/>
    <w:panose1 w:val="020B0604030504040204"/>
    <w:charset w:val="00"/>
    <w:family w:val="decorative"/>
    <w:pitch w:val="default"/>
    <w:sig w:usb0="00000000" w:usb1="00000000" w:usb2="00000029" w:usb3="00000000" w:csb0="200101FF" w:csb1="20280000"/>
  </w:font>
  <w:font w:name="文星标宋">
    <w:altName w:val="方正书宋_GBK"/>
    <w:panose1 w:val="02010604000101010101"/>
    <w:charset w:val="86"/>
    <w:family w:val="auto"/>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Ubuntu">
    <w:panose1 w:val="020B0604030602030204"/>
    <w:charset w:val="00"/>
    <w:family w:val="auto"/>
    <w:pitch w:val="default"/>
    <w:sig w:usb0="E00002FF" w:usb1="5000205B" w:usb2="00000000" w:usb3="00000000" w:csb0="2000009F" w:csb1="5601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w:rPr>
        <w:sz w:val="20"/>
      </w:rPr>
      <mc:AlternateContent>
        <mc:Choice Requires="wps">
          <w:drawing>
            <wp:anchor distT="0" distB="0" distL="114300" distR="114300" simplePos="0" relativeHeight="251661312" behindDoc="0" locked="0" layoutInCell="1" allowOverlap="1">
              <wp:simplePos x="0" y="0"/>
              <wp:positionH relativeFrom="margin">
                <wp:posOffset>2479675</wp:posOffset>
              </wp:positionH>
              <wp:positionV relativeFrom="paragraph">
                <wp:posOffset>19050</wp:posOffset>
              </wp:positionV>
              <wp:extent cx="713740" cy="1828800"/>
              <wp:effectExtent l="0" t="0" r="0" b="0"/>
              <wp:wrapNone/>
              <wp:docPr id="13" name="文本框 13"/>
              <wp:cNvGraphicFramePr/>
              <a:graphic xmlns:a="http://schemas.openxmlformats.org/drawingml/2006/main">
                <a:graphicData uri="http://schemas.microsoft.com/office/word/2010/wordprocessingShape">
                  <wps:wsp>
                    <wps:cNvSpPr txBox="true"/>
                    <wps:spPr>
                      <a:xfrm>
                        <a:off x="0" y="0"/>
                        <a:ext cx="7137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center"/>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squar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195.25pt;margin-top:1.5pt;height:144pt;width:56.2pt;mso-position-horizontal-relative:margin;z-index:251661312;mso-width-relative:page;mso-height-relative:page;" filled="f" stroked="f" coordsize="21600,21600" o:gfxdata="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OtZhhLUAAAABQEAAA8AAAAAAAAAAQAgAAAAOAAAAGRycy9kb3ducmV2&#10;LnhtbFBLAQIUABQAAAAIAIdO4kC/piXDIwIAACwEAAAOAAAAAAAAAAEAIAAAADkBAABkcnMvZTJv&#10;RG9jLnhtbFBLBQYAAAAABgAGAFkBAADOBQAAAAA=&#10;">
              <v:fill on="f" focussize="0,0"/>
              <v:stroke on="f" weight="0.5pt"/>
              <v:imagedata o:title=""/>
              <o:lock v:ext="edit" aspectratio="f"/>
              <v:textbox inset="0mm,0mm,0mm,0mm" style="mso-fit-shape-to-text:t;">
                <w:txbxContent>
                  <w:p>
                    <w:pPr>
                      <w:pStyle w:val="7"/>
                      <w:jc w:val="center"/>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bookmarkStart w:id="0" w:name="_GoBack"/>
    <w:r>
      <mc:AlternateContent>
        <mc:Choice Requires="wps">
          <w:drawing>
            <wp:inline distT="0" distB="0" distL="114300" distR="114300">
              <wp:extent cx="5615940" cy="539750"/>
              <wp:effectExtent l="0" t="0" r="0" b="0"/>
              <wp:docPr id="10" name="图片 4"/>
              <wp:cNvGraphicFramePr>
                <a:graphicFrameLocks xmlns:a="http://schemas.openxmlformats.org/drawingml/2006/main" noChangeAspect="true"/>
              </wp:cNvGraphicFramePr>
              <a:graphic xmlns:a="http://schemas.openxmlformats.org/drawingml/2006/main">
                <a:graphicData uri="http://schemas.microsoft.com/office/word/2010/wordprocessingShape">
                  <wps:wsp>
                    <wps:cNvSpPr>
                      <a:spLocks noChangeAspect="true"/>
                    </wps:cNvSpPr>
                    <wps:spPr>
                      <a:xfrm>
                        <a:off x="0" y="0"/>
                        <a:ext cx="5615940" cy="539750"/>
                      </a:xfrm>
                      <a:prstGeom prst="rect">
                        <a:avLst/>
                      </a:prstGeom>
                      <a:noFill/>
                      <a:ln>
                        <a:noFill/>
                      </a:ln>
                    </wps:spPr>
                    <wps:bodyPr wrap="square" upright="true"/>
                  </wps:wsp>
                </a:graphicData>
              </a:graphic>
            </wp:inline>
          </w:drawing>
        </mc:Choice>
        <mc:Fallback>
          <w:pict>
            <v:rect id="图片 4" o:spid="_x0000_s1026" o:spt="1" style="height:42.5pt;width:442.2pt;" filled="f" stroked="f" coordsize="21600,21600" o:gfxdata="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WAAAAZHJzL1BLAQIUABQAAAAI&#10;AIdO4kC6hB2o1gAAAAQBAAAPAAAAAAAAAAEAIAAAADgAAABkcnMvZG93bnJldi54bWxQSwECFAAU&#10;AAAACACHTuJAD8iRFKQBAAApAwAADgAAAAAAAAABACAAAAA7AQAAZHJzL2Uyb0RvYy54bWxQSwUG&#10;AAAAAAYABgBZAQAAUQUAAAAA&#10;">
              <v:fill on="f" focussize="0,0"/>
              <v:stroke on="f"/>
              <v:imagedata o:title=""/>
              <o:lock v:ext="edit" aspectratio="t"/>
              <w10:wrap type="none"/>
              <w10:anchorlock/>
            </v:rect>
          </w:pict>
        </mc:Fallback>
      </mc:AlternateContent>
    </w:r>
    <w:bookmarkEnd w:id="0"/>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dwRadHQIAACsEAAAOAAAAZHJz&#10;L2Uyb0RvYy54bWytU82O0zAQviPxDpbvNGmBVV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ihLDNGZ0+vb19P3p9OML&#10;wRsAalyYwW/j4BnbN7YtaPR7MZgC3lPrrfQ63WiKwAVoHy8IizYSjsfxdDKd5jBx2AYFKbLrd+dD&#10;fCusJkkoqMcIO2TZYR3i2XVwSdmMXdVKdWNUhjQFvXn5O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B3BFp0dAgAAKwQAAA4AAAAAAAAAAQAgAAAANQEAAGRycy9lMm9Eb2MueG1sUEsF&#10;BgAAAAAGAAYAWQEAAMQFAAAAAA==&#10;">
              <v:fill on="f" focussize="0,0"/>
              <v:stroke on="f" weight="0.5pt"/>
              <v:imagedata o:title=""/>
              <o:lock v:ext="edit" aspectratio="f"/>
              <v:textbox inset="0mm,0mm,0mm,0mm" style="mso-fit-shape-to-text:t;">
                <w:txbxContent>
                  <w:p>
                    <w:pPr>
                      <w:pStyle w:val="7"/>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r>
      <mc:AlternateContent>
        <mc:Choice Requires="wps">
          <w:drawing>
            <wp:inline distT="0" distB="0" distL="114300" distR="114300">
              <wp:extent cx="5615940" cy="539750"/>
              <wp:effectExtent l="0" t="0" r="0" b="0"/>
              <wp:docPr id="9" name="图片 3"/>
              <wp:cNvGraphicFramePr>
                <a:graphicFrameLocks xmlns:a="http://schemas.openxmlformats.org/drawingml/2006/main" noChangeAspect="true"/>
              </wp:cNvGraphicFramePr>
              <a:graphic xmlns:a="http://schemas.openxmlformats.org/drawingml/2006/main">
                <a:graphicData uri="http://schemas.microsoft.com/office/word/2010/wordprocessingShape">
                  <wps:wsp>
                    <wps:cNvSpPr>
                      <a:spLocks noChangeAspect="true"/>
                    </wps:cNvSpPr>
                    <wps:spPr>
                      <a:xfrm>
                        <a:off x="0" y="0"/>
                        <a:ext cx="5615940" cy="539750"/>
                      </a:xfrm>
                      <a:prstGeom prst="rect">
                        <a:avLst/>
                      </a:prstGeom>
                      <a:noFill/>
                      <a:ln>
                        <a:noFill/>
                      </a:ln>
                    </wps:spPr>
                    <wps:bodyPr wrap="square" upright="true"/>
                  </wps:wsp>
                </a:graphicData>
              </a:graphic>
            </wp:inline>
          </w:drawing>
        </mc:Choice>
        <mc:Fallback>
          <w:pict>
            <v:rect id="图片 3" o:spid="_x0000_s1026" o:spt="1" style="height:42.5pt;width:442.2pt;" filled="f" stroked="f" coordsize="21600,21600" o:gfxdata="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WAAAAZHJzL1BLAQIUABQAAAAI&#10;AIdO4kC6hB2o1gAAAAQBAAAPAAAAAAAAAAEAIAAAADgAAABkcnMvZG93bnJldi54bWxQSwECFAAU&#10;AAAACACHTuJAQF26R6QBAAAoAwAADgAAAAAAAAABACAAAAA7AQAAZHJzL2Uyb0RvYy54bWxQSwUG&#10;AAAAAAYABgBZAQAAUQUAAAAA&#10;">
              <v:fill on="f" focussize="0,0"/>
              <v:stroke on="f"/>
              <v:imagedata o:title=""/>
              <o:lock v:ext="edit" aspectratio="t"/>
              <w10:wrap type="none"/>
              <w10:anchorlock/>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-27305</wp:posOffset>
              </wp:positionV>
              <wp:extent cx="1278255" cy="29083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278255" cy="290830"/>
                      </a:xfrm>
                      <a:prstGeom prst="rect">
                        <a:avLst/>
                      </a:prstGeom>
                      <a:noFill/>
                      <a:ln w="9525">
                        <a:noFill/>
                      </a:ln>
                    </wps:spPr>
                    <wps:txbx>
                      <w:txbxContent>
                        <w:p>
                          <w:pPr>
                            <w:pStyle w:val="7"/>
                            <w:ind w:firstLine="560" w:firstLineChars="200"/>
                            <w:jc w:val="both"/>
                            <w:rPr>
                              <w:rFonts w:hint="default"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eastAsia="zh-CN"/>
                            </w:rPr>
                            <w:t xml:space="preserve">— </w:t>
                          </w:r>
                          <w:r>
                            <w:rPr>
                              <w:rFonts w:hint="eastAsia" w:ascii="楷体_GB2312" w:hAnsi="楷体_GB2312" w:eastAsia="楷体_GB2312" w:cs="楷体_GB2312"/>
                              <w:sz w:val="28"/>
                              <w:szCs w:val="28"/>
                              <w:lang w:eastAsia="zh-CN"/>
                            </w:rPr>
                            <w:fldChar w:fldCharType="begin"/>
                          </w:r>
                          <w:r>
                            <w:rPr>
                              <w:rFonts w:hint="eastAsia" w:ascii="楷体_GB2312" w:hAnsi="楷体_GB2312" w:eastAsia="楷体_GB2312" w:cs="楷体_GB2312"/>
                              <w:sz w:val="28"/>
                              <w:szCs w:val="28"/>
                              <w:lang w:eastAsia="zh-CN"/>
                            </w:rPr>
                            <w:instrText xml:space="preserve"> PAGE  \* MERGEFORMAT </w:instrText>
                          </w:r>
                          <w:r>
                            <w:rPr>
                              <w:rFonts w:hint="eastAsia" w:ascii="楷体_GB2312" w:hAnsi="楷体_GB2312" w:eastAsia="楷体_GB2312" w:cs="楷体_GB2312"/>
                              <w:sz w:val="28"/>
                              <w:szCs w:val="28"/>
                              <w:lang w:eastAsia="zh-CN"/>
                            </w:rPr>
                            <w:fldChar w:fldCharType="separate"/>
                          </w:r>
                          <w:r>
                            <w:rPr>
                              <w:rFonts w:hint="eastAsia" w:ascii="楷体_GB2312" w:hAnsi="楷体_GB2312" w:eastAsia="楷体_GB2312" w:cs="楷体_GB2312"/>
                              <w:sz w:val="28"/>
                              <w:szCs w:val="28"/>
                              <w:lang w:eastAsia="zh-CN"/>
                            </w:rPr>
                            <w:t>- 1 -</w:t>
                          </w:r>
                          <w:r>
                            <w:rPr>
                              <w:rFonts w:hint="eastAsia" w:ascii="楷体_GB2312" w:hAnsi="楷体_GB2312" w:eastAsia="楷体_GB2312" w:cs="楷体_GB2312"/>
                              <w:sz w:val="28"/>
                              <w:szCs w:val="28"/>
                              <w:lang w:eastAsia="zh-CN"/>
                            </w:rPr>
                            <w:fldChar w:fldCharType="end"/>
                          </w:r>
                          <w:r>
                            <w:rPr>
                              <w:rFonts w:hint="eastAsia" w:ascii="楷体_GB2312" w:hAnsi="楷体_GB2312" w:eastAsia="楷体_GB2312" w:cs="楷体_GB2312"/>
                              <w:sz w:val="28"/>
                              <w:szCs w:val="28"/>
                              <w:lang w:eastAsia="zh-CN"/>
                            </w:rPr>
                            <w:t xml:space="preserve"> —</w:t>
                          </w:r>
                          <w:r>
                            <w:rPr>
                              <w:rFonts w:hint="eastAsia" w:ascii="楷体_GB2312" w:hAnsi="楷体_GB2312" w:eastAsia="楷体_GB2312" w:cs="楷体_GB2312"/>
                              <w:sz w:val="28"/>
                              <w:szCs w:val="28"/>
                              <w:lang w:val="en-US" w:eastAsia="zh-CN"/>
                            </w:rPr>
                            <w:t xml:space="preserve">  </w:t>
                          </w:r>
                        </w:p>
                      </w:txbxContent>
                    </wps:txbx>
                    <wps:bodyPr wrap="square" lIns="0" tIns="0" rIns="0" bIns="0" upright="false">
                      <a:noAutofit/>
                    </wps:bodyPr>
                  </wps:wsp>
                </a:graphicData>
              </a:graphic>
            </wp:anchor>
          </w:drawing>
        </mc:Choice>
        <mc:Fallback>
          <w:pict>
            <v:shape id="_x0000_s1026" o:spid="_x0000_s1026" o:spt="202" type="#_x0000_t202" style="position:absolute;left:0pt;margin-top:-2.15pt;height:22.9pt;width:100.65pt;mso-position-horizontal:outside;mso-position-horizontal-relative:margin;z-index:251659264;mso-width-relative:page;mso-height-relative:page;" filled="f" stroked="f" coordsize="21600,21600" o:gfxdata="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0IzSxdYAAAAGAQAADwAAAAAAAAAB&#10;ACAAAAA4AAAAZHJzL2Rvd25yZXYueG1sUEsBAhQAFAAAAAgAh07iQF9jEOTDAQAAXAMAAA4AAAAA&#10;AAAAAQAgAAAAOwEAAGRycy9lMm9Eb2MueG1sUEsFBgAAAAAGAAYAWQEAAHAFAAAAAA==&#10;">
              <v:fill on="f" focussize="0,0"/>
              <v:stroke on="f"/>
              <v:imagedata o:title=""/>
              <o:lock v:ext="edit" aspectratio="f"/>
              <v:textbox inset="0mm,0mm,0mm,0mm">
                <w:txbxContent>
                  <w:p>
                    <w:pPr>
                      <w:pStyle w:val="7"/>
                      <w:ind w:firstLine="560" w:firstLineChars="200"/>
                      <w:jc w:val="both"/>
                      <w:rPr>
                        <w:rFonts w:hint="default"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eastAsia="zh-CN"/>
                      </w:rPr>
                      <w:t xml:space="preserve">— </w:t>
                    </w:r>
                    <w:r>
                      <w:rPr>
                        <w:rFonts w:hint="eastAsia" w:ascii="楷体_GB2312" w:hAnsi="楷体_GB2312" w:eastAsia="楷体_GB2312" w:cs="楷体_GB2312"/>
                        <w:sz w:val="28"/>
                        <w:szCs w:val="28"/>
                        <w:lang w:eastAsia="zh-CN"/>
                      </w:rPr>
                      <w:fldChar w:fldCharType="begin"/>
                    </w:r>
                    <w:r>
                      <w:rPr>
                        <w:rFonts w:hint="eastAsia" w:ascii="楷体_GB2312" w:hAnsi="楷体_GB2312" w:eastAsia="楷体_GB2312" w:cs="楷体_GB2312"/>
                        <w:sz w:val="28"/>
                        <w:szCs w:val="28"/>
                        <w:lang w:eastAsia="zh-CN"/>
                      </w:rPr>
                      <w:instrText xml:space="preserve"> PAGE  \* MERGEFORMAT </w:instrText>
                    </w:r>
                    <w:r>
                      <w:rPr>
                        <w:rFonts w:hint="eastAsia" w:ascii="楷体_GB2312" w:hAnsi="楷体_GB2312" w:eastAsia="楷体_GB2312" w:cs="楷体_GB2312"/>
                        <w:sz w:val="28"/>
                        <w:szCs w:val="28"/>
                        <w:lang w:eastAsia="zh-CN"/>
                      </w:rPr>
                      <w:fldChar w:fldCharType="separate"/>
                    </w:r>
                    <w:r>
                      <w:rPr>
                        <w:rFonts w:hint="eastAsia" w:ascii="楷体_GB2312" w:hAnsi="楷体_GB2312" w:eastAsia="楷体_GB2312" w:cs="楷体_GB2312"/>
                        <w:sz w:val="28"/>
                        <w:szCs w:val="28"/>
                        <w:lang w:eastAsia="zh-CN"/>
                      </w:rPr>
                      <w:t>- 1 -</w:t>
                    </w:r>
                    <w:r>
                      <w:rPr>
                        <w:rFonts w:hint="eastAsia" w:ascii="楷体_GB2312" w:hAnsi="楷体_GB2312" w:eastAsia="楷体_GB2312" w:cs="楷体_GB2312"/>
                        <w:sz w:val="28"/>
                        <w:szCs w:val="28"/>
                        <w:lang w:eastAsia="zh-CN"/>
                      </w:rPr>
                      <w:fldChar w:fldCharType="end"/>
                    </w:r>
                    <w:r>
                      <w:rPr>
                        <w:rFonts w:hint="eastAsia" w:ascii="楷体_GB2312" w:hAnsi="楷体_GB2312" w:eastAsia="楷体_GB2312" w:cs="楷体_GB2312"/>
                        <w:sz w:val="28"/>
                        <w:szCs w:val="28"/>
                        <w:lang w:eastAsia="zh-CN"/>
                      </w:rPr>
                      <w:t xml:space="preserve"> —</w:t>
                    </w:r>
                    <w:r>
                      <w:rPr>
                        <w:rFonts w:hint="eastAsia" w:ascii="楷体_GB2312" w:hAnsi="楷体_GB2312" w:eastAsia="楷体_GB2312" w:cs="楷体_GB2312"/>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anchor distT="0" distB="0" distL="0" distR="0" simplePos="0" relativeHeight="251660288" behindDoc="0" locked="1" layoutInCell="1" allowOverlap="1">
              <wp:simplePos x="0" y="0"/>
              <wp:positionH relativeFrom="column">
                <wp:posOffset>0</wp:posOffset>
              </wp:positionH>
              <wp:positionV relativeFrom="paragraph">
                <wp:posOffset>0</wp:posOffset>
              </wp:positionV>
              <wp:extent cx="5615940" cy="97155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5615940" cy="971550"/>
                      </a:xfrm>
                      <a:prstGeom prst="rect">
                        <a:avLst/>
                      </a:prstGeom>
                      <a:noFill/>
                      <a:ln w="7200">
                        <a:noFill/>
                      </a:ln>
                    </wps:spPr>
                    <wps:txbx>
                      <w:txbxContent>
                        <w:p>
                          <w:pPr>
                            <w:widowControl w:val="0"/>
                            <w:spacing w:line="334" w:lineRule="atLeast"/>
                            <w:rPr>
                              <w:rFonts w:hint="eastAsia"/>
                              <w:sz w:val="21"/>
                            </w:rPr>
                          </w:pPr>
                        </w:p>
                      </w:txbxContent>
                    </wps:txbx>
                    <wps:bodyPr wrap="square" lIns="0" tIns="0" rIns="0" bIns="0" upright="true"/>
                  </wps:wsp>
                </a:graphicData>
              </a:graphic>
            </wp:anchor>
          </w:drawing>
        </mc:Choice>
        <mc:Fallback>
          <w:pict>
            <v:shape id="_x0000_s1026" o:spid="_x0000_s1026" o:spt="202" type="#_x0000_t202" style="position:absolute;left:0pt;margin-left:0pt;margin-top:0pt;height:76.5pt;width:442.2pt;z-index:251660288;mso-width-relative:page;mso-height-relative:page;" filled="f" stroked="f" coordsize="21600,21600" o:gfxdata="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WAAAA&#10;ZHJzL1BLAQIUABQAAAAIAIdO4kDM4UR91gAAAAUBAAAPAAAAAAAAAAEAIAAAADgAAABkcnMvZG93&#10;bnJldi54bWxQSwECFAAUAAAACACHTuJAgHjuVLMBAABBAwAADgAAAAAAAAABACAAAAA7AQAAZHJz&#10;L2Uyb0RvYy54bWxQSwUGAAAAAAYABgBZAQAAYAUAAAAA&#10;">
              <v:fill on="f" focussize="0,0"/>
              <v:stroke on="f" weight="0.566929133858268pt"/>
              <v:imagedata o:title=""/>
              <o:lock v:ext="edit" aspectratio="f"/>
              <v:textbox inset="0mm,0mm,0mm,0mm">
                <w:txbxContent>
                  <w:p>
                    <w:pPr>
                      <w:widowControl w:val="0"/>
                      <w:spacing w:line="334" w:lineRule="atLeast"/>
                      <w:rPr>
                        <w:rFonts w:hint="eastAsia"/>
                        <w:sz w:val="21"/>
                      </w:rPr>
                    </w:pPr>
                  </w:p>
                </w:txbxContent>
              </v:textbox>
              <w10:anchorlock/>
            </v:shape>
          </w:pict>
        </mc:Fallback>
      </mc:AlternateContent>
    </w:r>
    <w:r>
      <mc:AlternateContent>
        <mc:Choice Requires="wps">
          <w:drawing>
            <wp:inline distT="0" distB="0" distL="114300" distR="114300">
              <wp:extent cx="5615940" cy="971550"/>
              <wp:effectExtent l="0" t="0" r="0" b="0"/>
              <wp:docPr id="8" name="图片 2"/>
              <wp:cNvGraphicFramePr>
                <a:graphicFrameLocks xmlns:a="http://schemas.openxmlformats.org/drawingml/2006/main" noChangeAspect="true"/>
              </wp:cNvGraphicFramePr>
              <a:graphic xmlns:a="http://schemas.openxmlformats.org/drawingml/2006/main">
                <a:graphicData uri="http://schemas.microsoft.com/office/word/2010/wordprocessingShape">
                  <wps:wsp>
                    <wps:cNvSpPr>
                      <a:spLocks noChangeAspect="true"/>
                    </wps:cNvSpPr>
                    <wps:spPr>
                      <a:xfrm>
                        <a:off x="0" y="0"/>
                        <a:ext cx="5615940" cy="971550"/>
                      </a:xfrm>
                      <a:prstGeom prst="rect">
                        <a:avLst/>
                      </a:prstGeom>
                      <a:noFill/>
                      <a:ln>
                        <a:noFill/>
                      </a:ln>
                    </wps:spPr>
                    <wps:bodyPr wrap="square" upright="true"/>
                  </wps:wsp>
                </a:graphicData>
              </a:graphic>
            </wp:inline>
          </w:drawing>
        </mc:Choice>
        <mc:Fallback>
          <w:pict>
            <v:rect id="图片 2" o:spid="_x0000_s1026" o:spt="1" style="height:76.5pt;width:442.2pt;" filled="f" stroked="f" coordsize="21600,21600" o:gfxdata="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FgAAAGRycy9QSwECFAAUAAAA&#10;CACHTuJAnrqBMtcAAAAFAQAADwAAAAAAAAABACAAAAA4AAAAZHJzL2Rvd25yZXYueG1sUEsBAhQA&#10;FAAAAAgAh07iQKhnN1ukAQAAKAMAAA4AAAAAAAAAAQAgAAAAPAEAAGRycy9lMm9Eb2MueG1sUEsF&#10;BgAAAAAGAAYAWQEAAFIFAAAAAA==&#10;">
              <v:fill on="f" focussize="0,0"/>
              <v:stroke on="f"/>
              <v:imagedata o:title=""/>
              <o:lock v:ext="edit" aspectratio="t"/>
              <w10:wrap type="none"/>
              <w10:anchorlock/>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anchor distT="0" distB="0" distL="0" distR="0" simplePos="0" relativeHeight="251659264" behindDoc="0" locked="1" layoutInCell="1" allowOverlap="1">
              <wp:simplePos x="0" y="0"/>
              <wp:positionH relativeFrom="column">
                <wp:posOffset>0</wp:posOffset>
              </wp:positionH>
              <wp:positionV relativeFrom="paragraph">
                <wp:posOffset>0</wp:posOffset>
              </wp:positionV>
              <wp:extent cx="5615940" cy="97155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5615940" cy="971550"/>
                      </a:xfrm>
                      <a:prstGeom prst="rect">
                        <a:avLst/>
                      </a:prstGeom>
                      <a:noFill/>
                      <a:ln w="7200">
                        <a:noFill/>
                      </a:ln>
                    </wps:spPr>
                    <wps:txbx>
                      <w:txbxContent>
                        <w:p>
                          <w:pPr>
                            <w:widowControl w:val="0"/>
                            <w:spacing w:line="334" w:lineRule="atLeast"/>
                            <w:rPr>
                              <w:rFonts w:hint="eastAsia"/>
                              <w:sz w:val="21"/>
                            </w:rPr>
                          </w:pPr>
                        </w:p>
                      </w:txbxContent>
                    </wps:txbx>
                    <wps:bodyPr wrap="square" lIns="0" tIns="0" rIns="0" bIns="0" upright="true"/>
                  </wps:wsp>
                </a:graphicData>
              </a:graphic>
            </wp:anchor>
          </w:drawing>
        </mc:Choice>
        <mc:Fallback>
          <w:pict>
            <v:shape id="_x0000_s1026" o:spid="_x0000_s1026" o:spt="202" type="#_x0000_t202" style="position:absolute;left:0pt;margin-left:0pt;margin-top:0pt;height:76.5pt;width:442.2pt;z-index:251659264;mso-width-relative:page;mso-height-relative:page;" filled="f" stroked="f" coordsize="21600,21600" o:gfxdata="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WAAAA&#10;ZHJzL1BLAQIUABQAAAAIAIdO4kDM4UR91gAAAAUBAAAPAAAAAAAAAAEAIAAAADgAAABkcnMvZG93&#10;bnJldi54bWxQSwECFAAUAAAACACHTuJAMd9pIrMBAABBAwAADgAAAAAAAAABACAAAAA7AQAAZHJz&#10;L2Uyb0RvYy54bWxQSwUGAAAAAAYABgBZAQAAYAUAAAAA&#10;">
              <v:fill on="f" focussize="0,0"/>
              <v:stroke on="f" weight="0.566929133858268pt"/>
              <v:imagedata o:title=""/>
              <o:lock v:ext="edit" aspectratio="f"/>
              <v:textbox inset="0mm,0mm,0mm,0mm">
                <w:txbxContent>
                  <w:p>
                    <w:pPr>
                      <w:widowControl w:val="0"/>
                      <w:spacing w:line="334" w:lineRule="atLeast"/>
                      <w:rPr>
                        <w:rFonts w:hint="eastAsia"/>
                        <w:sz w:val="21"/>
                      </w:rPr>
                    </w:pPr>
                  </w:p>
                </w:txbxContent>
              </v:textbox>
              <w10:anchorlock/>
            </v:shape>
          </w:pict>
        </mc:Fallback>
      </mc:AlternateContent>
    </w:r>
    <w:r>
      <mc:AlternateContent>
        <mc:Choice Requires="wps">
          <w:drawing>
            <wp:inline distT="0" distB="0" distL="114300" distR="114300">
              <wp:extent cx="5615940" cy="971550"/>
              <wp:effectExtent l="0" t="0" r="0" b="0"/>
              <wp:docPr id="7" name="图片 1"/>
              <wp:cNvGraphicFramePr>
                <a:graphicFrameLocks xmlns:a="http://schemas.openxmlformats.org/drawingml/2006/main" noChangeAspect="true"/>
              </wp:cNvGraphicFramePr>
              <a:graphic xmlns:a="http://schemas.openxmlformats.org/drawingml/2006/main">
                <a:graphicData uri="http://schemas.microsoft.com/office/word/2010/wordprocessingShape">
                  <wps:wsp>
                    <wps:cNvSpPr>
                      <a:spLocks noChangeAspect="true"/>
                    </wps:cNvSpPr>
                    <wps:spPr>
                      <a:xfrm>
                        <a:off x="0" y="0"/>
                        <a:ext cx="5615940" cy="971550"/>
                      </a:xfrm>
                      <a:prstGeom prst="rect">
                        <a:avLst/>
                      </a:prstGeom>
                      <a:noFill/>
                      <a:ln>
                        <a:noFill/>
                      </a:ln>
                    </wps:spPr>
                    <wps:bodyPr wrap="square" upright="true"/>
                  </wps:wsp>
                </a:graphicData>
              </a:graphic>
            </wp:inline>
          </w:drawing>
        </mc:Choice>
        <mc:Fallback>
          <w:pict>
            <v:rect id="图片 1" o:spid="_x0000_s1026" o:spt="1" style="height:76.5pt;width:442.2pt;" filled="f" stroked="f" coordsize="21600,21600" o:gfxdata="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WAAAAZHJzL1BLAQIUABQAAAAI&#10;AIdO4kCeuoEy1wAAAAUBAAAPAAAAAAAAAAEAIAAAADgAAABkcnMvZG93bnJldi54bWxQSwECFAAU&#10;AAAACACHTuJAtkkLhKMBAAAoAwAADgAAAAAAAAABACAAAAA8AQAAZHJzL2Uyb0RvYy54bWxQSwUG&#10;AAAAAAYABgBZAQAAUQUAAAAA&#10;">
              <v:fill on="f" focussize="0,0"/>
              <v:stroke on="f"/>
              <v:imagedata o:title=""/>
              <o:lock v:ext="edit" aspectratio="t"/>
              <w10:wrap type="none"/>
              <w10:anchorlock/>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numFmt w:val="decimalHalfWidth"/>
  </w:footnotePr>
  <w:endnotePr>
    <w:numFmt w:val="chineseCounting"/>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lOWFjZjUwOTlkY2FjYTlhMmE5ZjNlOThiYmViMGYifQ=="/>
  </w:docVars>
  <w:rsids>
    <w:rsidRoot w:val="7B795642"/>
    <w:rsid w:val="035C05B3"/>
    <w:rsid w:val="03CA5E9C"/>
    <w:rsid w:val="0605617E"/>
    <w:rsid w:val="07407853"/>
    <w:rsid w:val="07687023"/>
    <w:rsid w:val="080D74CB"/>
    <w:rsid w:val="08F76AFF"/>
    <w:rsid w:val="097B3170"/>
    <w:rsid w:val="0BA129F4"/>
    <w:rsid w:val="0CFA0DDD"/>
    <w:rsid w:val="0DE934C6"/>
    <w:rsid w:val="0EF76006"/>
    <w:rsid w:val="0F0E754A"/>
    <w:rsid w:val="10AA2392"/>
    <w:rsid w:val="10AA5163"/>
    <w:rsid w:val="10DD3022"/>
    <w:rsid w:val="12090C56"/>
    <w:rsid w:val="12690425"/>
    <w:rsid w:val="13512A1A"/>
    <w:rsid w:val="139BC3E2"/>
    <w:rsid w:val="150C121C"/>
    <w:rsid w:val="15851855"/>
    <w:rsid w:val="178D35AE"/>
    <w:rsid w:val="182C4830"/>
    <w:rsid w:val="190F3767"/>
    <w:rsid w:val="197C5EDB"/>
    <w:rsid w:val="19E21103"/>
    <w:rsid w:val="1A2C0886"/>
    <w:rsid w:val="1A634CE3"/>
    <w:rsid w:val="1AE4406F"/>
    <w:rsid w:val="1B4837D1"/>
    <w:rsid w:val="1CBA6CE1"/>
    <w:rsid w:val="1D4D3AEB"/>
    <w:rsid w:val="1D6174BA"/>
    <w:rsid w:val="1F6C3195"/>
    <w:rsid w:val="1F9F6143"/>
    <w:rsid w:val="1FD44DF2"/>
    <w:rsid w:val="1FD50880"/>
    <w:rsid w:val="20B756C8"/>
    <w:rsid w:val="20E030CE"/>
    <w:rsid w:val="216C7ADA"/>
    <w:rsid w:val="224C6FD4"/>
    <w:rsid w:val="22CF57A8"/>
    <w:rsid w:val="22F372AE"/>
    <w:rsid w:val="24B96DAA"/>
    <w:rsid w:val="24C13B58"/>
    <w:rsid w:val="256839EE"/>
    <w:rsid w:val="26112400"/>
    <w:rsid w:val="26F41CCC"/>
    <w:rsid w:val="27080982"/>
    <w:rsid w:val="2AFA42B7"/>
    <w:rsid w:val="2B4B6A48"/>
    <w:rsid w:val="2BEF7FE5"/>
    <w:rsid w:val="2BFD247B"/>
    <w:rsid w:val="2BFF61D0"/>
    <w:rsid w:val="2C4472B1"/>
    <w:rsid w:val="2C536736"/>
    <w:rsid w:val="2C9D3FB4"/>
    <w:rsid w:val="2CFF157D"/>
    <w:rsid w:val="2DF3699F"/>
    <w:rsid w:val="2F374560"/>
    <w:rsid w:val="302C7966"/>
    <w:rsid w:val="30881A2C"/>
    <w:rsid w:val="30EB0DFF"/>
    <w:rsid w:val="310B05CC"/>
    <w:rsid w:val="325C2C2C"/>
    <w:rsid w:val="34EF65FA"/>
    <w:rsid w:val="35254A03"/>
    <w:rsid w:val="377F48E1"/>
    <w:rsid w:val="37AC58CA"/>
    <w:rsid w:val="38FA0586"/>
    <w:rsid w:val="39ED7465"/>
    <w:rsid w:val="3A9E14C4"/>
    <w:rsid w:val="3AD74974"/>
    <w:rsid w:val="3B293DEA"/>
    <w:rsid w:val="3BFC36C8"/>
    <w:rsid w:val="3C631A4B"/>
    <w:rsid w:val="3CD2702E"/>
    <w:rsid w:val="3CDE6FFD"/>
    <w:rsid w:val="3D945C9C"/>
    <w:rsid w:val="3DBA0E43"/>
    <w:rsid w:val="3E175182"/>
    <w:rsid w:val="3E711E42"/>
    <w:rsid w:val="3F147AE4"/>
    <w:rsid w:val="3FDF76BB"/>
    <w:rsid w:val="3FDF7E3D"/>
    <w:rsid w:val="3FDF9B8D"/>
    <w:rsid w:val="3FFD1044"/>
    <w:rsid w:val="42323228"/>
    <w:rsid w:val="42643FC7"/>
    <w:rsid w:val="42C11812"/>
    <w:rsid w:val="432B4696"/>
    <w:rsid w:val="433F570B"/>
    <w:rsid w:val="44225E68"/>
    <w:rsid w:val="44FA5F0F"/>
    <w:rsid w:val="46327C89"/>
    <w:rsid w:val="46C76613"/>
    <w:rsid w:val="477E095F"/>
    <w:rsid w:val="498C2F9C"/>
    <w:rsid w:val="498D69CF"/>
    <w:rsid w:val="4A0A2C52"/>
    <w:rsid w:val="4A2213C9"/>
    <w:rsid w:val="4A799565"/>
    <w:rsid w:val="4ACD56B4"/>
    <w:rsid w:val="4AFA1753"/>
    <w:rsid w:val="4B7DA4BE"/>
    <w:rsid w:val="4B8B5651"/>
    <w:rsid w:val="4CD63435"/>
    <w:rsid w:val="4D05759C"/>
    <w:rsid w:val="4DFF11A5"/>
    <w:rsid w:val="4EB47459"/>
    <w:rsid w:val="4ED6F6AF"/>
    <w:rsid w:val="4F511E90"/>
    <w:rsid w:val="4FE33B1E"/>
    <w:rsid w:val="4FFE56C4"/>
    <w:rsid w:val="50401567"/>
    <w:rsid w:val="504F1F09"/>
    <w:rsid w:val="50CD494F"/>
    <w:rsid w:val="50E728FB"/>
    <w:rsid w:val="51E9980E"/>
    <w:rsid w:val="52AE6759"/>
    <w:rsid w:val="534F781B"/>
    <w:rsid w:val="53894668"/>
    <w:rsid w:val="53B8031A"/>
    <w:rsid w:val="546B3DE0"/>
    <w:rsid w:val="547C2BFD"/>
    <w:rsid w:val="54CD3E5D"/>
    <w:rsid w:val="5709481B"/>
    <w:rsid w:val="57776238"/>
    <w:rsid w:val="577E261B"/>
    <w:rsid w:val="57DD4DEC"/>
    <w:rsid w:val="588647E9"/>
    <w:rsid w:val="58976049"/>
    <w:rsid w:val="591A2316"/>
    <w:rsid w:val="595951BD"/>
    <w:rsid w:val="5A1838D7"/>
    <w:rsid w:val="5B541A6B"/>
    <w:rsid w:val="5BB46604"/>
    <w:rsid w:val="5BC47DE8"/>
    <w:rsid w:val="5BDF4304"/>
    <w:rsid w:val="5CA8355D"/>
    <w:rsid w:val="5CBF34C4"/>
    <w:rsid w:val="5D37050B"/>
    <w:rsid w:val="5F4746EB"/>
    <w:rsid w:val="5F7012AD"/>
    <w:rsid w:val="5F7A0A25"/>
    <w:rsid w:val="5F7C7862"/>
    <w:rsid w:val="5FA805FC"/>
    <w:rsid w:val="5FD5A4B3"/>
    <w:rsid w:val="5FEE3C0D"/>
    <w:rsid w:val="5FEFDCC2"/>
    <w:rsid w:val="5FF77A9E"/>
    <w:rsid w:val="60101ABA"/>
    <w:rsid w:val="608C7E04"/>
    <w:rsid w:val="610B240D"/>
    <w:rsid w:val="61290265"/>
    <w:rsid w:val="613B465C"/>
    <w:rsid w:val="61965BD9"/>
    <w:rsid w:val="629E0141"/>
    <w:rsid w:val="63A14823"/>
    <w:rsid w:val="63FF9F84"/>
    <w:rsid w:val="64A228E8"/>
    <w:rsid w:val="65B84E7B"/>
    <w:rsid w:val="661B48BC"/>
    <w:rsid w:val="670C3A97"/>
    <w:rsid w:val="67EE133B"/>
    <w:rsid w:val="68095A00"/>
    <w:rsid w:val="6836104E"/>
    <w:rsid w:val="68742613"/>
    <w:rsid w:val="687E266D"/>
    <w:rsid w:val="68AB4EFA"/>
    <w:rsid w:val="698A26E7"/>
    <w:rsid w:val="6AAD5E11"/>
    <w:rsid w:val="6B7B64E0"/>
    <w:rsid w:val="6BFF75BD"/>
    <w:rsid w:val="6C1672C4"/>
    <w:rsid w:val="6D020313"/>
    <w:rsid w:val="6D436D55"/>
    <w:rsid w:val="6D5F90DA"/>
    <w:rsid w:val="6DD21876"/>
    <w:rsid w:val="6E766156"/>
    <w:rsid w:val="6EA63F75"/>
    <w:rsid w:val="6F7956EF"/>
    <w:rsid w:val="6FEF1509"/>
    <w:rsid w:val="6FFA3CE5"/>
    <w:rsid w:val="700D4259"/>
    <w:rsid w:val="70357E09"/>
    <w:rsid w:val="705B79B8"/>
    <w:rsid w:val="722F5F63"/>
    <w:rsid w:val="727F6340"/>
    <w:rsid w:val="73D84C69"/>
    <w:rsid w:val="73F62A37"/>
    <w:rsid w:val="75FA3F34"/>
    <w:rsid w:val="76FFB89D"/>
    <w:rsid w:val="77A1C759"/>
    <w:rsid w:val="787D35C7"/>
    <w:rsid w:val="78A27A4E"/>
    <w:rsid w:val="79BD183C"/>
    <w:rsid w:val="79BFB4FF"/>
    <w:rsid w:val="7A0640ED"/>
    <w:rsid w:val="7A0C5EDF"/>
    <w:rsid w:val="7A7577A6"/>
    <w:rsid w:val="7AFF6802"/>
    <w:rsid w:val="7B795642"/>
    <w:rsid w:val="7C6F0189"/>
    <w:rsid w:val="7CA000AA"/>
    <w:rsid w:val="7CF216E0"/>
    <w:rsid w:val="7D3F847E"/>
    <w:rsid w:val="7D676911"/>
    <w:rsid w:val="7D777493"/>
    <w:rsid w:val="7DFFC960"/>
    <w:rsid w:val="7E066CD0"/>
    <w:rsid w:val="7E483423"/>
    <w:rsid w:val="7E5EBF07"/>
    <w:rsid w:val="7F162E9B"/>
    <w:rsid w:val="7F4D08AD"/>
    <w:rsid w:val="7F6A6544"/>
    <w:rsid w:val="7FBB9C77"/>
    <w:rsid w:val="7FD49440"/>
    <w:rsid w:val="7FFB0307"/>
    <w:rsid w:val="7FFD6F54"/>
    <w:rsid w:val="7FFF1DCD"/>
    <w:rsid w:val="8DAD8E18"/>
    <w:rsid w:val="9F64D746"/>
    <w:rsid w:val="9FB17C8F"/>
    <w:rsid w:val="B3277468"/>
    <w:rsid w:val="B67F8A71"/>
    <w:rsid w:val="BDB64C84"/>
    <w:rsid w:val="BEFECA0D"/>
    <w:rsid w:val="BF7E04AE"/>
    <w:rsid w:val="CFE57DE7"/>
    <w:rsid w:val="D37EEFC7"/>
    <w:rsid w:val="DDBB1CBE"/>
    <w:rsid w:val="DFFFF55C"/>
    <w:rsid w:val="E7BA65D3"/>
    <w:rsid w:val="EAFF333F"/>
    <w:rsid w:val="EB698075"/>
    <w:rsid w:val="EFD7F973"/>
    <w:rsid w:val="F1E76F06"/>
    <w:rsid w:val="F3E823DA"/>
    <w:rsid w:val="F6F7E191"/>
    <w:rsid w:val="F7760589"/>
    <w:rsid w:val="F7C52296"/>
    <w:rsid w:val="F7EE4500"/>
    <w:rsid w:val="F7FE01E0"/>
    <w:rsid w:val="FCABA2D1"/>
    <w:rsid w:val="FCFFC5FF"/>
    <w:rsid w:val="FEB7413A"/>
    <w:rsid w:val="FEE8A840"/>
    <w:rsid w:val="FEFFDE63"/>
    <w:rsid w:val="FF3A7051"/>
    <w:rsid w:val="FF7CE71C"/>
    <w:rsid w:val="FFDD7659"/>
    <w:rsid w:val="FFF1434A"/>
    <w:rsid w:val="FFFB7A01"/>
    <w:rsid w:val="FFFC092E"/>
    <w:rsid w:val="FFFD16C8"/>
    <w:rsid w:val="FFFE0B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tLeast"/>
      <w:outlineLvl w:val="0"/>
    </w:pPr>
    <w:rPr>
      <w:b/>
      <w:bCs/>
      <w:kern w:val="44"/>
      <w:sz w:val="44"/>
      <w:szCs w:val="44"/>
    </w:rPr>
  </w:style>
  <w:style w:type="character" w:default="1" w:styleId="14">
    <w:name w:val="Default Paragraph Font"/>
    <w:link w:val="15"/>
    <w:semiHidden/>
    <w:qFormat/>
    <w:uiPriority w:val="0"/>
    <w:rPr>
      <w:rFonts w:ascii="Verdana" w:hAnsi="Verdana" w:eastAsia="仿宋_GB2312"/>
      <w:kern w:val="0"/>
      <w:sz w:val="24"/>
      <w:szCs w:val="20"/>
      <w:lang w:eastAsia="en-US"/>
    </w:rPr>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首行缩进"/>
    <w:qFormat/>
    <w:uiPriority w:val="1"/>
    <w:pPr>
      <w:widowControl w:val="0"/>
      <w:ind w:firstLine="480" w:firstLineChars="200"/>
      <w:jc w:val="both"/>
    </w:pPr>
    <w:rPr>
      <w:rFonts w:ascii="Times New Roman" w:hAnsi="Times New Roman" w:eastAsia="楷体_GB2312" w:cs="Times New Roman"/>
      <w:kern w:val="2"/>
      <w:sz w:val="26"/>
      <w:szCs w:val="20"/>
      <w:lang w:val="zh-CN" w:eastAsia="zh-CN" w:bidi="ar-SA"/>
    </w:rPr>
  </w:style>
  <w:style w:type="paragraph" w:styleId="4">
    <w:name w:val="Body Text"/>
    <w:basedOn w:val="1"/>
    <w:next w:val="5"/>
    <w:qFormat/>
    <w:uiPriority w:val="0"/>
    <w:rPr>
      <w:rFonts w:ascii="Calibri" w:hAnsi="Calibri" w:eastAsia="宋体" w:cs="Times New Roman"/>
      <w:sz w:val="29"/>
      <w:szCs w:val="29"/>
    </w:rPr>
  </w:style>
  <w:style w:type="paragraph" w:styleId="5">
    <w:name w:val="Body Text 2"/>
    <w:basedOn w:val="1"/>
    <w:next w:val="4"/>
    <w:qFormat/>
    <w:uiPriority w:val="0"/>
    <w:pPr>
      <w:spacing w:after="120" w:line="480" w:lineRule="auto"/>
    </w:pPr>
    <w:rPr>
      <w:rFonts w:ascii="Calibri" w:hAnsi="Calibri" w:eastAsia="宋体" w:cs="Times New Roman"/>
      <w:sz w:val="20"/>
    </w:rPr>
  </w:style>
  <w:style w:type="paragraph" w:styleId="6">
    <w:name w:val="Body Text Indent"/>
    <w:basedOn w:val="1"/>
    <w:qFormat/>
    <w:uiPriority w:val="0"/>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4"/>
    <w:basedOn w:val="1"/>
    <w:next w:val="1"/>
    <w:qFormat/>
    <w:uiPriority w:val="0"/>
    <w:pPr>
      <w:ind w:left="1260" w:leftChars="600"/>
    </w:pPr>
  </w:style>
  <w:style w:type="paragraph" w:styleId="10">
    <w:name w:val="Normal (Web)"/>
    <w:basedOn w:val="1"/>
    <w:next w:val="9"/>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4"/>
    <w:next w:val="12"/>
    <w:qFormat/>
    <w:uiPriority w:val="0"/>
    <w:pPr>
      <w:ind w:firstLine="420" w:firstLineChars="100"/>
    </w:pPr>
  </w:style>
  <w:style w:type="paragraph" w:styleId="12">
    <w:name w:val="Body Text First Indent 2"/>
    <w:basedOn w:val="6"/>
    <w:qFormat/>
    <w:uiPriority w:val="0"/>
    <w:pPr>
      <w:ind w:firstLine="420" w:firstLineChars="200"/>
    </w:pPr>
  </w:style>
  <w:style w:type="paragraph" w:customStyle="1" w:styleId="15">
    <w:name w:val="Char Char Char Char Char Char Char Char Char Char Char Char Char Char Char Char Char Char Char Char Char Char Char Char Char Char Char Char Char Char Char Char Char"/>
    <w:basedOn w:val="1"/>
    <w:link w:val="14"/>
    <w:qFormat/>
    <w:uiPriority w:val="0"/>
    <w:pPr>
      <w:widowControl/>
      <w:spacing w:after="160" w:afterLines="0" w:line="240" w:lineRule="exact"/>
      <w:jc w:val="left"/>
    </w:pPr>
    <w:rPr>
      <w:rFonts w:ascii="Verdana" w:hAnsi="Verdana" w:eastAsia="仿宋_GB2312"/>
      <w:kern w:val="0"/>
      <w:sz w:val="24"/>
      <w:szCs w:val="20"/>
      <w:lang w:eastAsia="en-US"/>
    </w:rPr>
  </w:style>
  <w:style w:type="character" w:styleId="16">
    <w:name w:val="Strong"/>
    <w:basedOn w:val="14"/>
    <w:qFormat/>
    <w:uiPriority w:val="0"/>
    <w:rPr>
      <w:b/>
    </w:rPr>
  </w:style>
  <w:style w:type="character" w:styleId="17">
    <w:name w:val="page number"/>
    <w:basedOn w:val="14"/>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1633</Words>
  <Characters>1702</Characters>
  <Lines>0</Lines>
  <Paragraphs>0</Paragraphs>
  <TotalTime>0</TotalTime>
  <ScaleCrop>false</ScaleCrop>
  <LinksUpToDate>false</LinksUpToDate>
  <CharactersWithSpaces>1734</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2017-10-24T16:54:00Z</dcterms:created>
  <dc:creator>lenovo-fzb</dc:creator>
  <cp:lastModifiedBy>hk</cp:lastModifiedBy>
  <cp:lastPrinted>2023-09-27T00:09:00Z</cp:lastPrinted>
  <dcterms:modified xsi:type="dcterms:W3CDTF">2025-01-17T16:09:59Z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y fmtid="{D5CDD505-2E9C-101B-9397-08002B2CF9AE}" pid="3" name="ICV">
    <vt:lpwstr>65BA02CE582C4579A8C3A2BDADC08852_13</vt:lpwstr>
  </property>
</Properties>
</file>