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-930910</wp:posOffset>
            </wp:positionV>
            <wp:extent cx="7559675" cy="10692130"/>
            <wp:effectExtent l="0" t="0" r="3175" b="13970"/>
            <wp:wrapNone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jc w:val="both"/>
        <w:rPr>
          <w:rFonts w:hint="default"/>
          <w:lang w:val="e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第</w:t>
      </w:r>
      <w:r>
        <w:rPr>
          <w:rFonts w:hint="default" w:ascii="楷体_GB2312" w:hAnsi="楷体_GB2312" w:eastAsia="楷体_GB2312" w:cs="楷体_GB2312"/>
          <w:sz w:val="32"/>
          <w:szCs w:val="40"/>
          <w:lang w:val="en" w:eastAsia="zh-CN"/>
        </w:rPr>
        <w:t>16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三门峡市政府督查室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               202</w:t>
      </w: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年9月2日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省、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市重点民生实事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进展情况报告</w:t>
      </w:r>
    </w:p>
    <w:p>
      <w:pPr>
        <w:pStyle w:val="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2021年省、市重点民生实事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共涉及10大类2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项具体任务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，截至目前，总体进展顺利。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现将最新进展情况报告如下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一、实施城市社区办公场所建设提升工程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市县统筹、整合资源、规范建设、综合利用”的原则，通过新建、购置、改扩建、划拨调剂、开发单位配套建设等方式，重点对办公场所面积在200平方米以下和无固定办公场所的城市社区进行建设提升，年底前实现全市无固定办公用房的社区清零，湖滨区新增建筑面积在300平方米以上的规范化社区办公用房不少于6个，陕州区新增建筑面积在300平方米以上的规范化社区办公用房不少于2个，着力解决社区办公有场所、群众办事有场地的问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市民政局、市委组织部，相关县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截至目前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，湖滨区大岭路社区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办公用房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投入使用，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天元社区、复兴社区、商务中心社区、虢东社区、崤北社区办公用房正在进行装修；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陕州区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高阳社区新增办公用房2处、锦绣社区新增办公用房1处并已投入使用、神泉苑社区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用房已完成招投标、东一区社区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西区社区办公用房正进行室内装修、中区社区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用房已完工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渑池县英豪街社区办公用房准备装修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英豪煤矿社区办公用房正进行室内版面制作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；灵宝市鼎塬社区办公用房正在进行选址；卢氏县红石谷路社区、翰林路社区办公用房已投入使用；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义马市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、城乡一体化示范区、开发区已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实现规范性社区全覆盖。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二、实施文化惠民工程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组织红色文艺轻骑兵入百村活动100场。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截至目前，完成红色文艺轻骑兵入百村活动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（受疫情影响，8月份惠民活动未开展）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组织“消夏音乐季”广场文艺演出100场。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市委宣传部、市文化广电旅游局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截至目前，已举行“消夏音乐季”文艺演出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 w:bidi="ar-SA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工作任务3：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组织“政府采购百场戏”300场。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市文化广电旅游局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截至目前，已完成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 w:bidi="ar-SA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（受疫情影响，8月份未有新进展）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工作任务4：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深化党的创新理论进基层活动，首批选择200个行政村建设新时代文明实践阅报栏。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市委宣传部、三门峡日报社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明确建设标准、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村庄名单、资金规模，正在制定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具体实施和设计方案。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三、加快补齐乡村教育短板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继续实施农村义务教育阶段学校教师特设岗位计划，鼓励高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校毕业生从事农村教育工作，招聘农村特岗教师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60名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，建立稳定有效的乡村教师补充机制，优化农村教师队伍资源配置。着力提升农村教师生活待遇，改善农村教师生活条件，全市新建教师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周转宿舍107套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市教育局，各县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截至目前，特岗教师招聘（100人）笔试成绩已公布，受疫情影响，面试具体时间待省教育厅通知后进行。全市已建成教师周转宿舍80套，在建27套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加强居民小区改造提升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失养失修失管严重、市政配套不完善、社会服务设施不健全、居民改造意愿强烈、具备改造条件的城镇老旧小区进行改造，全年完成改造不少于2.9万户。加强居民小区治安风险预测、预警、预防，开工建设385个智慧安防小区，建立治安要素防控应用平台，安装人脸识别、车辆识别等智能安防设施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市“百城提质”领导小组办公室、市公安局，各县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目前，全市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老旧小区改造已完工2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《三门峡市智慧安防小区建设实施方案》已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，开发区符合接入条件小区11个，4个小区正在试接当中。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五、加强窨井设施维护改造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开展全市窨井设施隐患排查工作，对存在安全隐患的窨井设施进行更换改造，全年整治窨井设施7000个，加大窨井设施日常养护力度，切实保障人民群众“脚底下的安全”。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市住房城乡建设局、市城管局，各县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全市城市公共区域窨井盖已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完成病害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普查，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435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六、完善城市基础设施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扩大供热、供气覆盖面。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在市区新建供热管网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公里，换热站10座，新建燃气管道10公里。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市区已建成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供热管网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2.73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，建成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燃气管道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，完成换热站建设6座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扩大5G网络覆盖面。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以独立组网（SA）为目标，统筹推进5G基站和室分系统建设，全年开通5G基站9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个以上；建设覆盖广、速率高、体验好的5G精品网，促进网络资源共建共享，实现乡镇以上区域连续覆盖，基本满足应用场景需求。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市工业和信息化局、市通管办，各县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截至目前，全市已建成投用5G基站228个，在建5G基站86个。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今年河南省通讯管理局批复的第一批5G基站建设任务为314座，已全部开工建设，第二批5G基站正在根据各地需求勘探报批中，待全省统一批复后即开工建设。上半年时，全省5G基站平均建成开通比例占全年任务总数的13.7%，三门峡开通比例为15.6%，高于全省2个百分点，18个地市中仅比焦作市开通比例低，排全省第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七、畅通群众出行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坚持“建、管、护、运”并举，持续推动“四好农村路”建设，全年新建农村公路300公里，实施农村公路“百县通村入组”工程，完成280个自然村通硬化路任务，实现全市20户以上具备条件的自然村通硬化路。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市交通运输局，各县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完成农村公路新改建里程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个自然村通硬化路。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在崤山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路崤函小学门口新建一座过街天桥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截至目前，天桥已完成总工程量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90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%，预计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完工。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和平路六峰路交叉口人行过街天桥已完成亮化任务；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编制完成《市区5座人行过街天桥亮化方案》和天桥亮化项目概算，正在申请项目资金。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市城管局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截至目前，已完成1座天桥亮化（和平路六峰路交叉口天桥），其余5座天桥已完成亮化方案制定、项目资金批准、拦标控制价、设计图纸、财政评审，正在发布采购预公示。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八、提升医疗健康水平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完善妇女“两癌”筛查、产前筛查和新生儿疾病筛查机制。继续对农村适龄妇女、纳入城市低保范围的适龄妇女免费开展一次宫颈癌和乳腺癌筛查，宫颈癌、乳腺癌筛查各完成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人。继续免费开展预防出生缺陷产前筛查和新生儿疾病筛查，对筛查出的高风险孕妇进行免费产前诊断。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市妇联、市卫生健康委，各县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目前，完成全市农村适龄妇女、纳入城市低保的适龄妇女宫颈癌筛查28760人，乳腺癌筛查29526人；全市免费产前超声筛查7210例，筛查率为73.47%，免费血清学产前筛查7678例，筛查率78.24%，新生儿“两病”筛查9436例，筛查率为96.15%，新生儿听力筛查9861例，筛查率为100.48%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继续实施残疾儿童康复救助。对具有我省户籍或居住证、符合康复条件的视力、听力、言语、肢体、智力等残疾儿童和孤独症儿童开展康复救助，全年救助不少于700人，基本实现有需求残疾儿童应救尽救。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市残联，各县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政府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7月底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残疾儿童康复救助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873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超额完成年度目标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继续实施儿童青少年近视防控工程。成立儿童青少年近视防控中心和科普教育基地，建立近视干预学校，为全市4万名儿童青少年免费进行检查视力、健康教育、建立和更新视力档案。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截至目前，全市已开展视力筛查筛查5960人，建立和更新健康视力档案5833份。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建设三门峡市中医院PCR实验室，提升新冠病毒核酸检测水平。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市中医院PCR实验室评审材料已经市财政局审核完毕，已向三门峡市公共交易中心上报材料并发布招标公告。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九、推进公共服务便民化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：提升移动政务服务能力。积极推广应用“豫事办”客户端，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推进“豫事办”三门峡分厅建设，确保全年上线事项数量达60个以上，分厅事项月使用率不低于90%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分厅日均访问人数与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地用户注册量的比值不低于3%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逐步实现各类移动端应用在“豫事办”汇聚。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截至目前，“豫事办”三门峡分厅已上线事项达到137个，分厅月使用率达到98.5%。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运用大数据手段，推进住房保障资格申请实现“零材料”“零跑腿”，住房保障补贴实现“不见面”发放。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市政务和大数据局、市住房城乡建设局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目前，市住房保障信息系统和数据共享平台已实现对接，群众只需进行身份证识别即可通过“线上三门峡”APP或政务服务网上进行相关业务办理，基本实现住房保障资格申请“零跑腿”“零资料”，住房保障补贴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提升法律服务水平。扩大村（居）法律顾问服务面，完善农村公共法律服务体系，年底前全市专业律师担任村（居）法律顾问的比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0%。持续扩大法律援助范围，完成法律援助案件2500件。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市司法局，各县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，全市专业律师担任村（居）法律顾问的比例已达到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受理法律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援助案件1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680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货车入市通行证网上办理系统。应用“互联网+”等技术，实现货车入市通行证网上受理、网上审批、网上下载打印、证件邮寄送达或就近窗口领取，让群众少跑腿、数据多跑路。配套研发监管查处系统，加强通行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市公安局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已完成方案制定，项目可行性研究报告评审已通过。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设立“崤函三农”信息服务平台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。按照科技兴农、人才强农的战略要求，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以推动农业农村高质量发展为主题，利用现代信息技术，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定期向广大农民群众、“三农”工作者推送农业科技、政策法规、农情农事等方面信息，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不断提升全市农民群众科学素养，促进农业新品种、新技术、新装备推广应用。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截至目前，“崤函三农”信息服务平台已上线运行，累计发布各类信息674篇。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十、持续推进农村电网建设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持续提高农村电网安全可靠供电能力，完成2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0个配电台区改造升级，新建改造10千伏及以下线路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千米。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三门峡供电公司，各县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截至目前，已完成92个台区、152.9公里10千伏及以下线路改造升级任务，其余128个配电台区及100千米10千伏及以下线路工程已完成物资和施工招标，正在开展物资催货和有序开工。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1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9259D"/>
    <w:multiLevelType w:val="singleLevel"/>
    <w:tmpl w:val="51F925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788"/>
    <w:rsid w:val="03C14CE4"/>
    <w:rsid w:val="03F822BA"/>
    <w:rsid w:val="077575C1"/>
    <w:rsid w:val="0BF17354"/>
    <w:rsid w:val="0CAA2478"/>
    <w:rsid w:val="0E061151"/>
    <w:rsid w:val="0EE5750F"/>
    <w:rsid w:val="0EFB7C83"/>
    <w:rsid w:val="0F9E1A95"/>
    <w:rsid w:val="10815EA2"/>
    <w:rsid w:val="14EB28FC"/>
    <w:rsid w:val="18325326"/>
    <w:rsid w:val="1849041A"/>
    <w:rsid w:val="185C7D7C"/>
    <w:rsid w:val="19FB7798"/>
    <w:rsid w:val="1A356C80"/>
    <w:rsid w:val="1DF669A0"/>
    <w:rsid w:val="1F16238C"/>
    <w:rsid w:val="1F286017"/>
    <w:rsid w:val="1FC9623D"/>
    <w:rsid w:val="214D7D25"/>
    <w:rsid w:val="22291B36"/>
    <w:rsid w:val="248857AA"/>
    <w:rsid w:val="25603C56"/>
    <w:rsid w:val="29234EC8"/>
    <w:rsid w:val="29467A00"/>
    <w:rsid w:val="2E0A7F2A"/>
    <w:rsid w:val="2F310647"/>
    <w:rsid w:val="30D5056B"/>
    <w:rsid w:val="325879C9"/>
    <w:rsid w:val="32A158A6"/>
    <w:rsid w:val="32AD6368"/>
    <w:rsid w:val="334C182A"/>
    <w:rsid w:val="337D2841"/>
    <w:rsid w:val="33E25163"/>
    <w:rsid w:val="349A0838"/>
    <w:rsid w:val="355E5BA5"/>
    <w:rsid w:val="374B434B"/>
    <w:rsid w:val="38835B70"/>
    <w:rsid w:val="3BD05C59"/>
    <w:rsid w:val="3D73E30F"/>
    <w:rsid w:val="3DCE7A1C"/>
    <w:rsid w:val="3F82777C"/>
    <w:rsid w:val="422421F7"/>
    <w:rsid w:val="430F50CB"/>
    <w:rsid w:val="436F3369"/>
    <w:rsid w:val="43C31C35"/>
    <w:rsid w:val="4423572B"/>
    <w:rsid w:val="44712443"/>
    <w:rsid w:val="45FE3DDD"/>
    <w:rsid w:val="466D247D"/>
    <w:rsid w:val="47514CBD"/>
    <w:rsid w:val="4ACF52C2"/>
    <w:rsid w:val="4BB6159D"/>
    <w:rsid w:val="4F7963CA"/>
    <w:rsid w:val="51B205CE"/>
    <w:rsid w:val="52030488"/>
    <w:rsid w:val="52B385C2"/>
    <w:rsid w:val="575D46EB"/>
    <w:rsid w:val="58341974"/>
    <w:rsid w:val="584D229D"/>
    <w:rsid w:val="588C3807"/>
    <w:rsid w:val="59140E39"/>
    <w:rsid w:val="5BC456E5"/>
    <w:rsid w:val="5E3B331C"/>
    <w:rsid w:val="5E3FCA19"/>
    <w:rsid w:val="5E887678"/>
    <w:rsid w:val="5F772015"/>
    <w:rsid w:val="64B46F97"/>
    <w:rsid w:val="65471F13"/>
    <w:rsid w:val="669F0543"/>
    <w:rsid w:val="67DCAA0C"/>
    <w:rsid w:val="67ED455A"/>
    <w:rsid w:val="69774C81"/>
    <w:rsid w:val="6AFF3D44"/>
    <w:rsid w:val="6B8F694C"/>
    <w:rsid w:val="6BA254FB"/>
    <w:rsid w:val="6D6674F8"/>
    <w:rsid w:val="6E3D3DA2"/>
    <w:rsid w:val="6F1A3C44"/>
    <w:rsid w:val="6F3EAAA4"/>
    <w:rsid w:val="6F9F038C"/>
    <w:rsid w:val="6FEFB225"/>
    <w:rsid w:val="6FFE7285"/>
    <w:rsid w:val="71C63F88"/>
    <w:rsid w:val="7545362E"/>
    <w:rsid w:val="76FFD765"/>
    <w:rsid w:val="778B3296"/>
    <w:rsid w:val="77BFC362"/>
    <w:rsid w:val="77DF6899"/>
    <w:rsid w:val="77F38D0D"/>
    <w:rsid w:val="77F6B4DC"/>
    <w:rsid w:val="7896155C"/>
    <w:rsid w:val="79A06A43"/>
    <w:rsid w:val="7A820729"/>
    <w:rsid w:val="7AE57612"/>
    <w:rsid w:val="7AF80B22"/>
    <w:rsid w:val="7B1F3696"/>
    <w:rsid w:val="7BCC5614"/>
    <w:rsid w:val="7C786F37"/>
    <w:rsid w:val="7D941600"/>
    <w:rsid w:val="7E14665D"/>
    <w:rsid w:val="7E1B1122"/>
    <w:rsid w:val="7F691DC6"/>
    <w:rsid w:val="9FF31CBA"/>
    <w:rsid w:val="ABD02094"/>
    <w:rsid w:val="AFCDDE25"/>
    <w:rsid w:val="AFF70110"/>
    <w:rsid w:val="BFBD2482"/>
    <w:rsid w:val="BFFD76F5"/>
    <w:rsid w:val="DBFD533F"/>
    <w:rsid w:val="DFFCE7B8"/>
    <w:rsid w:val="F6FB4C22"/>
    <w:rsid w:val="F9E6440F"/>
    <w:rsid w:val="FBB5CD0F"/>
    <w:rsid w:val="FDBAD8A3"/>
    <w:rsid w:val="FDBFEA6D"/>
    <w:rsid w:val="FEF6B862"/>
    <w:rsid w:val="FF6B79D7"/>
    <w:rsid w:val="FFC56705"/>
    <w:rsid w:val="FFD7C64A"/>
    <w:rsid w:val="FFE60F4F"/>
    <w:rsid w:val="FFED2D02"/>
    <w:rsid w:val="FF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Default"/>
    <w:basedOn w:val="2"/>
    <w:next w:val="2"/>
    <w:qFormat/>
    <w:uiPriority w:val="0"/>
    <w:pPr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</w:rPr>
  </w:style>
  <w:style w:type="paragraph" w:customStyle="1" w:styleId="11">
    <w:name w:val="Normal Indent"/>
    <w:basedOn w:val="1"/>
    <w:qFormat/>
    <w:uiPriority w:val="0"/>
    <w:pPr>
      <w:spacing w:line="351" w:lineRule="atLeast"/>
      <w:ind w:firstLine="420" w:firstLineChars="200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4199</Words>
  <Characters>4451</Characters>
  <Lines>0</Lines>
  <Paragraphs>0</Paragraphs>
  <TotalTime>72</TotalTime>
  <ScaleCrop>false</ScaleCrop>
  <LinksUpToDate>false</LinksUpToDate>
  <CharactersWithSpaces>4472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2021-05-05T16:35:00Z</dcterms:created>
  <dc:creator>Administrator</dc:creator>
  <cp:lastModifiedBy>hjx</cp:lastModifiedBy>
  <cp:lastPrinted>2021-09-02T16:41:30Z</cp:lastPrinted>
  <dcterms:modified xsi:type="dcterms:W3CDTF">2021-09-02T17:22:34Z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FDF95DBAAFED47E3BCA74CC069C557C3</vt:lpwstr>
  </property>
</Properties>
</file>