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40" w:firstLineChars="100"/>
        <w:jc w:val="both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sz w:val="44"/>
          <w:szCs w:val="44"/>
        </w:rPr>
        <w:t>年三门峡市人民政府办公室预算公开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56"/>
          <w:szCs w:val="56"/>
        </w:rPr>
      </w:pPr>
      <w:r>
        <w:rPr>
          <w:rFonts w:hint="eastAsia" w:ascii="黑体" w:hAnsi="黑体" w:eastAsia="黑体" w:cs="黑体"/>
          <w:sz w:val="56"/>
          <w:szCs w:val="56"/>
        </w:rPr>
        <w:t>目 录</w:t>
      </w:r>
    </w:p>
    <w:p>
      <w:pPr>
        <w:spacing w:line="560" w:lineRule="exact"/>
        <w:ind w:firstLine="642" w:firstLineChars="200"/>
        <w:jc w:val="center"/>
        <w:rPr>
          <w:rFonts w:eastAsia="仿宋_GB2312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 三门峡市人民政府办公室概况</w:t>
      </w:r>
    </w:p>
    <w:p>
      <w:pPr>
        <w:spacing w:line="600" w:lineRule="exact"/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一、主要职能</w:t>
      </w:r>
    </w:p>
    <w:p>
      <w:pPr>
        <w:spacing w:line="600" w:lineRule="exact"/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机构设置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 三门峡市人民政府办公室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年部门预算情况说明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 名词解释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附件：三门峡市人民政府办公室20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>年部门预算表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一、部门收支总体情况表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二、部门收入总体情况表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三、部门支出总体情况表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四、财政拨款收支总体情况表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五、一般公共预算支出情况表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六、一般公共预算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情况</w:t>
      </w:r>
      <w:r>
        <w:rPr>
          <w:rFonts w:hint="eastAsia" w:ascii="仿宋" w:hAnsi="仿宋" w:eastAsia="仿宋" w:cs="仿宋"/>
          <w:sz w:val="32"/>
          <w:szCs w:val="32"/>
        </w:rPr>
        <w:t>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七、一般公共预算“三公”经费支出情况表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八、政府性基金支出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>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九、部门（单位）整体绩效目标表</w:t>
      </w:r>
    </w:p>
    <w:p>
      <w:p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十、部门预算项目绩效目标汇总表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  <w:sectPr>
          <w:footerReference r:id="rId3" w:type="even"/>
          <w:endnotePr>
            <w:numFmt w:val="decimal"/>
          </w:endnotePr>
          <w:pgSz w:w="11849" w:h="16781"/>
          <w:pgMar w:top="2098" w:right="1474" w:bottom="1985" w:left="1588" w:header="0" w:footer="964" w:gutter="0"/>
          <w:pgNumType w:fmt="numberInDash"/>
          <w:cols w:space="720" w:num="1"/>
          <w:docGrid w:type="lines" w:linePitch="317" w:charSpace="0"/>
        </w:sect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三门峡市人民政府办公室概况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、主要职责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市政府办公室是协助市政府领导同志处理市政府日常工作的机构，主要履行下列职责：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负责党中央、国务院、省委、省政府及市委、市政府重大政策措施和市政府决定事项贯彻落实情况的督促检查；负责党中央、国务院、省委、省政府及市委、市政府领导同志有关指示批示的督查督办；负责办理市政府工作范围内的人大代表建议和政协委员提案工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（二）围绕市政府中心工作和市政府领导同志批示，组织专题调查研究。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（三）组织起草或审核以市政府、市政府办公室名义印发的公文。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（四）负责市政府会议的组织工作。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（五）负责对市政府各部门和各县（市、区）政府请示市政府的事项进行审核,提出拟办意见,报市政府领导同志审批。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（六）负责市政府及其办公室公文收发、运转、印制工作,指导全市政府系统的文秘工作。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（七）负责全市政务信息采编和分析,指导协调全市政府系统信息工作。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（八）负责市政府政务公开、信息公开、政府网站管理、政策解读、舆情应对等工作,指导监督全市政务公开工作;编写《市政府大事记》。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（九）负责协调、督促“放管服”改革工作,对市政府部门进行目标考核。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（十）负责“12345”政务热线管理工作。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（十一）负责市政府值班工作,指导全市政府系统值班工作。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（十二）承办申请市政府裁决的行政复议案件,指导、监督全市的行政复议和行政应诉工作;受市政府委托,代理市政府行政诉讼和民事诉讼；承办市政府决定受理的行政赔偿案件。 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（十三）完成市委、市政府交办的其他任务。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二、机构设置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三门峡市人民政府办公室内设机构30个，包括：综合科、秘书一科、秘书二科、机要科、政策法规科、市政府值班室、市政府督查室、市政府目标管理办公室、人大政协联络科、信息科、调研室、政务公开办公室、职能转变协调科、市长办公室、一科、二科、三科、四科、五科、六科、七科、行政复议应诉一科、行政复议应诉二科、人事科、财务科、行政科、保卫科、政务热线管理科。另设有机关党委和离退休干部工作科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三门峡市人民政府办公室部门预算包括：本级预算、所属事业单位预算。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三门峡市人民政府办公室（本级）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2.三门峡市人民政府网站（财务不独立）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3.三门峡市人民政府发展研究中心（财务不独立）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4.三门峡市人民政府行政复议中心（财务不独立）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三门峡市人民政府办公室20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>年部门预算情况说明</w:t>
      </w:r>
    </w:p>
    <w:p>
      <w:pPr>
        <w:spacing w:line="600" w:lineRule="exact"/>
        <w:ind w:firstLine="640" w:firstLineChars="200"/>
        <w:jc w:val="center"/>
        <w:rPr>
          <w:rFonts w:ascii="文星黑体" w:hAnsi="文星黑体" w:eastAsia="文星黑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一、收入支出预算总体情况说明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市政府办公室20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年收入总计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2555.16</w:t>
      </w:r>
      <w:r>
        <w:rPr>
          <w:rFonts w:hint="eastAsia" w:ascii="仿宋" w:hAnsi="仿宋" w:eastAsia="仿宋" w:cs="仿宋"/>
          <w:sz w:val="32"/>
          <w:szCs w:val="32"/>
        </w:rPr>
        <w:t>万元，支出总计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2555.16</w:t>
      </w:r>
      <w:r>
        <w:rPr>
          <w:rFonts w:hint="eastAsia" w:ascii="仿宋" w:hAnsi="仿宋" w:eastAsia="仿宋" w:cs="仿宋"/>
          <w:sz w:val="32"/>
          <w:szCs w:val="32"/>
        </w:rPr>
        <w:t>万元，与20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>相比，收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入增加126.36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增长5.2</w:t>
      </w:r>
      <w:r>
        <w:rPr>
          <w:rFonts w:hint="eastAsia" w:ascii="仿宋" w:hAnsi="仿宋" w:eastAsia="仿宋" w:cs="仿宋"/>
          <w:sz w:val="32"/>
          <w:szCs w:val="32"/>
        </w:rPr>
        <w:t>%。主要原因：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市政府办公室人员增加，人员经费等基本支出增加。支出增加126.36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增长5.2</w:t>
      </w:r>
      <w:r>
        <w:rPr>
          <w:rFonts w:hint="eastAsia" w:ascii="仿宋" w:hAnsi="仿宋" w:eastAsia="仿宋" w:cs="仿宋"/>
          <w:sz w:val="32"/>
          <w:szCs w:val="32"/>
        </w:rPr>
        <w:t>%。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主要原因同上。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二、收入预算总体情况说明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市政府办公室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年收入合计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2555.16</w:t>
      </w:r>
      <w:r>
        <w:rPr>
          <w:rFonts w:hint="eastAsia" w:ascii="仿宋" w:hAnsi="仿宋" w:eastAsia="仿宋" w:cs="仿宋"/>
          <w:sz w:val="32"/>
          <w:szCs w:val="32"/>
        </w:rPr>
        <w:t>万元，其中：一般公共预算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2555.16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三、支出预算总体情况说明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市政府办公室20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年支出合计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2555.16</w:t>
      </w:r>
      <w:r>
        <w:rPr>
          <w:rFonts w:hint="eastAsia" w:ascii="仿宋" w:hAnsi="仿宋" w:eastAsia="仿宋" w:cs="仿宋"/>
          <w:sz w:val="32"/>
          <w:szCs w:val="32"/>
        </w:rPr>
        <w:t>万元，其中：基本支出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2163.86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84.69</w:t>
      </w:r>
      <w:r>
        <w:rPr>
          <w:rFonts w:hint="eastAsia" w:ascii="仿宋" w:hAnsi="仿宋" w:eastAsia="仿宋" w:cs="仿宋"/>
          <w:sz w:val="32"/>
          <w:szCs w:val="32"/>
        </w:rPr>
        <w:t>%；项目支出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391.3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含派驻纪检组经费24.6万元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15.31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市政府办公室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年一般公共预算收支预算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2555.16</w:t>
      </w:r>
      <w:r>
        <w:rPr>
          <w:rFonts w:hint="eastAsia" w:ascii="仿宋" w:hAnsi="仿宋" w:eastAsia="仿宋" w:cs="仿宋"/>
          <w:sz w:val="32"/>
          <w:szCs w:val="32"/>
        </w:rPr>
        <w:t>万元。与20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增加126.36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增长5.2</w:t>
      </w:r>
      <w:r>
        <w:rPr>
          <w:rFonts w:hint="eastAsia" w:ascii="仿宋" w:hAnsi="仿宋" w:eastAsia="仿宋" w:cs="仿宋"/>
          <w:sz w:val="32"/>
          <w:szCs w:val="32"/>
        </w:rPr>
        <w:t>%。主要原因：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市政府办公室人员增加，人员经费等基本支出增加。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五、一般公共预算支出预算情况说明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市政府办公室20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2555.16</w:t>
      </w:r>
      <w:r>
        <w:rPr>
          <w:rFonts w:hint="eastAsia" w:ascii="仿宋" w:hAnsi="仿宋" w:eastAsia="仿宋" w:cs="仿宋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2190.85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85.74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社会保障和就业（类）支出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144.82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5.67</w:t>
      </w:r>
      <w:r>
        <w:rPr>
          <w:rFonts w:hint="eastAsia" w:ascii="仿宋" w:hAnsi="仿宋" w:eastAsia="仿宋" w:cs="仿宋"/>
          <w:sz w:val="32"/>
          <w:szCs w:val="32"/>
        </w:rPr>
        <w:t>%；卫生健康（类）支出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110.88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4.34</w:t>
      </w:r>
      <w:r>
        <w:rPr>
          <w:rFonts w:hint="eastAsia" w:ascii="仿宋" w:hAnsi="仿宋" w:eastAsia="仿宋" w:cs="仿宋"/>
          <w:sz w:val="32"/>
          <w:szCs w:val="32"/>
        </w:rPr>
        <w:t>%；住房保障（类）支出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108.61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4.25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支出预算经济分类情况说明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财政部关于印发&lt;支出经济分类科目改革方案&gt;的通知》(财预〔2017〕98号)要求,从2018年起全面实施支出经济分类科目改革,根据政府预算管理和部门预算管理的不同特点,分设部门预算支出经济分类科目和政府预算支出经济分类科目,两套科目之间保持对应关系。我办《支出经济分类汇总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按两套经济分类科目分别反映不同资金来源的全部预算支出。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七、政府性基金预算支出情况说明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市政府办公室20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 w:cs="仿宋"/>
          <w:sz w:val="32"/>
          <w:szCs w:val="32"/>
        </w:rPr>
        <w:t>使用政府性基金预算拨款安排的支出。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八、“三公”经费支出预算情况说明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市政府办公室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年“三公”经费预算为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32.5</w:t>
      </w:r>
      <w:r>
        <w:rPr>
          <w:rFonts w:hint="eastAsia" w:ascii="仿宋" w:hAnsi="仿宋" w:eastAsia="仿宋" w:cs="仿宋"/>
          <w:sz w:val="32"/>
          <w:szCs w:val="32"/>
        </w:rPr>
        <w:t>万元。20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年“三公”经费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支出</w:t>
      </w:r>
      <w:r>
        <w:rPr>
          <w:rFonts w:hint="eastAsia" w:ascii="仿宋" w:hAnsi="仿宋" w:eastAsia="仿宋" w:cs="仿宋"/>
          <w:sz w:val="32"/>
          <w:szCs w:val="32"/>
        </w:rPr>
        <w:t>预算数比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2020年减少10</w:t>
      </w:r>
      <w:r>
        <w:rPr>
          <w:rFonts w:hint="eastAsia" w:ascii="仿宋" w:hAnsi="仿宋" w:eastAsia="仿宋" w:cs="仿宋"/>
          <w:sz w:val="32"/>
          <w:szCs w:val="32"/>
        </w:rPr>
        <w:t>万元。主要原因：严格执行中央八项规定及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党政机关</w:t>
      </w:r>
      <w:r>
        <w:rPr>
          <w:rFonts w:hint="eastAsia" w:ascii="仿宋" w:hAnsi="仿宋" w:eastAsia="仿宋" w:cs="仿宋"/>
          <w:sz w:val="32"/>
          <w:szCs w:val="32"/>
        </w:rPr>
        <w:t>厉行节约反对浪费条例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精神，实行源头控制，进一步压减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部门“三公经费”支出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具体支出情况如下：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文星仿宋" w:hAnsi="文星仿宋" w:eastAsia="文星仿宋"/>
          <w:b/>
          <w:bCs/>
          <w:sz w:val="32"/>
          <w:szCs w:val="32"/>
          <w:lang w:eastAsia="zh-CN"/>
        </w:rPr>
        <w:t>（</w:t>
      </w:r>
      <w:r>
        <w:rPr>
          <w:rFonts w:hint="eastAsia" w:ascii="文星仿宋" w:hAnsi="文星仿宋" w:eastAsia="文星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文星仿宋" w:hAnsi="文星仿宋" w:eastAsia="文星仿宋"/>
          <w:b/>
          <w:bCs/>
          <w:sz w:val="32"/>
          <w:szCs w:val="32"/>
          <w:lang w:eastAsia="zh-CN"/>
        </w:rPr>
        <w:t>）</w:t>
      </w:r>
      <w:r>
        <w:rPr>
          <w:rFonts w:ascii="文星仿宋" w:hAnsi="文星仿宋" w:eastAsia="文星仿宋"/>
          <w:b/>
          <w:bCs/>
          <w:sz w:val="32"/>
          <w:szCs w:val="32"/>
        </w:rPr>
        <w:t>因公出国（境）费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万元。主要用于单位工作人员公务出国（境）的住宿费、旅费、伙食补助费、杂费、培训费等支出。预算数比20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减少</w:t>
      </w:r>
      <w:r>
        <w:rPr>
          <w:rFonts w:hint="eastAsia" w:ascii="仿宋" w:hAnsi="仿宋" w:eastAsia="仿宋" w:cs="仿宋"/>
          <w:sz w:val="32"/>
          <w:szCs w:val="32"/>
        </w:rPr>
        <w:t>5万元。主要原因：严格执行中央八项规定及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党政机关</w:t>
      </w:r>
      <w:r>
        <w:rPr>
          <w:rFonts w:hint="eastAsia" w:ascii="仿宋" w:hAnsi="仿宋" w:eastAsia="仿宋" w:cs="仿宋"/>
          <w:sz w:val="32"/>
          <w:szCs w:val="32"/>
        </w:rPr>
        <w:t>厉行节约反对浪费条例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精神，实行源头控制，进一步压减因公出国（境）费。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2" w:firstLineChars="200"/>
        <w:rPr>
          <w:rFonts w:hint="eastAsia" w:ascii="文星仿宋" w:hAnsi="文星仿宋" w:eastAsia="文星仿宋"/>
          <w:color w:val="000000"/>
          <w:sz w:val="32"/>
          <w:szCs w:val="32"/>
        </w:rPr>
      </w:pPr>
      <w:r>
        <w:rPr>
          <w:rFonts w:hint="eastAsia" w:ascii="文星仿宋" w:hAnsi="文星仿宋" w:eastAsia="文星仿宋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文星仿宋" w:hAnsi="文星仿宋" w:eastAsia="文星仿宋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文星仿宋" w:hAnsi="文星仿宋" w:eastAsia="文星仿宋"/>
          <w:b/>
          <w:bCs/>
          <w:color w:val="000000"/>
          <w:sz w:val="32"/>
          <w:szCs w:val="32"/>
          <w:lang w:eastAsia="zh-CN"/>
        </w:rPr>
        <w:t>）</w:t>
      </w:r>
      <w:r>
        <w:rPr>
          <w:rFonts w:ascii="文星仿宋" w:hAnsi="文星仿宋" w:eastAsia="文星仿宋"/>
          <w:b/>
          <w:bCs/>
          <w:color w:val="000000"/>
          <w:sz w:val="32"/>
          <w:szCs w:val="32"/>
        </w:rPr>
        <w:t>公务接待费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10万元，主要用于按规定开支的各类公务接待（含外宾接待）支出。</w:t>
      </w:r>
      <w:r>
        <w:rPr>
          <w:rFonts w:hint="eastAsia" w:ascii="仿宋" w:hAnsi="仿宋" w:eastAsia="仿宋" w:cs="仿宋"/>
          <w:sz w:val="32"/>
          <w:szCs w:val="32"/>
        </w:rPr>
        <w:t>预算数比20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减少</w:t>
      </w:r>
      <w:r>
        <w:rPr>
          <w:rFonts w:hint="eastAsia" w:ascii="仿宋" w:hAnsi="仿宋" w:eastAsia="仿宋" w:cs="仿宋"/>
          <w:sz w:val="32"/>
          <w:szCs w:val="32"/>
        </w:rPr>
        <w:t>5万元。主要原因：严格执行中央八项规定及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党政机关</w:t>
      </w:r>
      <w:r>
        <w:rPr>
          <w:rFonts w:hint="eastAsia" w:ascii="仿宋" w:hAnsi="仿宋" w:eastAsia="仿宋" w:cs="仿宋"/>
          <w:sz w:val="32"/>
          <w:szCs w:val="32"/>
        </w:rPr>
        <w:t>厉行节约反对浪费条例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精神，实行源头控制，进一步压减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公务接待费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38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/>
          <w:b/>
          <w:bCs/>
          <w:spacing w:val="-1"/>
          <w:sz w:val="32"/>
          <w:szCs w:val="32"/>
          <w:lang w:eastAsia="zh-CN"/>
        </w:rPr>
        <w:t>（</w:t>
      </w:r>
      <w:r>
        <w:rPr>
          <w:rFonts w:hint="eastAsia" w:ascii="文星仿宋" w:hAnsi="文星仿宋" w:eastAsia="文星仿宋"/>
          <w:b/>
          <w:bCs/>
          <w:spacing w:val="-1"/>
          <w:sz w:val="32"/>
          <w:szCs w:val="32"/>
          <w:lang w:val="en-US" w:eastAsia="zh-CN"/>
        </w:rPr>
        <w:t>三</w:t>
      </w:r>
      <w:r>
        <w:rPr>
          <w:rFonts w:hint="eastAsia" w:ascii="文星仿宋" w:hAnsi="文星仿宋" w:eastAsia="文星仿宋"/>
          <w:b/>
          <w:bCs/>
          <w:spacing w:val="-1"/>
          <w:sz w:val="32"/>
          <w:szCs w:val="32"/>
          <w:lang w:eastAsia="zh-CN"/>
        </w:rPr>
        <w:t>）</w:t>
      </w:r>
      <w:r>
        <w:rPr>
          <w:rFonts w:ascii="文星仿宋" w:hAnsi="文星仿宋" w:eastAsia="文星仿宋"/>
          <w:b/>
          <w:bCs/>
          <w:spacing w:val="-1"/>
          <w:sz w:val="32"/>
          <w:szCs w:val="32"/>
        </w:rPr>
        <w:t>公务用车购置及运行费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12.5万元，其中，公务用车购置费0万元；公务用车运行维护费12.5万元，主要用于公务用车的燃料费、维修费、过路过桥费、保险费等支出。预算数与2020年持平。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九、其他重要事项的情况说明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2" w:firstLineChars="200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（一）机关运行经费支出情况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市政府办公室2021年机关运行经费支出预算230.63万元，主要保障机构正常运转及正常履职需要。 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2" w:firstLineChars="200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（二）政府采购支出情况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0" w:firstLineChars="200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2021年政府采购预算安排85万元，其中：政府采购货物预算65万元、政府采购工程预算0万元、政府采购服务预算20万元。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2" w:firstLineChars="200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（三）绩效目标设置情况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市政府办公室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预算项目均按要求编制了绩效目标，从项目产出、项目效益、满意度等方面设置了绩效指标，综合反映项目预期完成的数量、实效、质量，预期达到的社会经济效益、可持续影响以及服务对象满意度等情况。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38" w:firstLineChars="200"/>
        <w:rPr>
          <w:rFonts w:hint="eastAsia" w:ascii="仿宋" w:hAnsi="仿宋" w:eastAsia="仿宋" w:cs="仿宋"/>
          <w:b/>
          <w:bCs/>
          <w:spacing w:val="-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1"/>
          <w:sz w:val="32"/>
          <w:szCs w:val="32"/>
        </w:rPr>
        <w:t>（四）国有资产占用情况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2020年期末，我办共有车辆5台（含市级领导工作用车），全部为一般公务用车；单价50万元以上的通用设备0台（套），单位价值100万元以上专用设备0台（套）。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38" w:firstLineChars="200"/>
        <w:rPr>
          <w:rFonts w:hint="eastAsia" w:ascii="仿宋" w:hAnsi="仿宋" w:eastAsia="仿宋" w:cs="仿宋"/>
          <w:b/>
          <w:bCs/>
          <w:spacing w:val="-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1"/>
          <w:sz w:val="32"/>
          <w:szCs w:val="32"/>
        </w:rPr>
        <w:t>（五）专项转移支付项目情况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市政府办公室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无负责管理的专项转移支付项目及资金。</w:t>
      </w:r>
    </w:p>
    <w:p>
      <w:pPr>
        <w:kinsoku w:val="0"/>
        <w:overflowPunct w:val="0"/>
        <w:adjustRightInd w:val="0"/>
        <w:snapToGrid w:val="0"/>
        <w:spacing w:line="600" w:lineRule="exact"/>
        <w:jc w:val="center"/>
        <w:rPr>
          <w:rFonts w:hint="eastAsia" w:ascii="文星黑体" w:hAnsi="文星黑体" w:eastAsia="文星黑体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jc w:val="center"/>
        <w:rPr>
          <w:rFonts w:hint="eastAsia" w:ascii="文星黑体" w:hAnsi="文星黑体" w:eastAsia="文星黑体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jc w:val="center"/>
        <w:rPr>
          <w:rFonts w:hint="eastAsia" w:ascii="文星黑体" w:hAnsi="文星黑体" w:eastAsia="文星黑体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jc w:val="center"/>
        <w:rPr>
          <w:rFonts w:hint="eastAsia" w:ascii="文星黑体" w:hAnsi="文星黑体" w:eastAsia="文星黑体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jc w:val="center"/>
        <w:rPr>
          <w:rFonts w:hint="eastAsia" w:ascii="文星黑体" w:hAnsi="文星黑体" w:eastAsia="文星黑体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jc w:val="center"/>
        <w:rPr>
          <w:rFonts w:hint="eastAsia" w:ascii="文星黑体" w:hAnsi="文星黑体" w:eastAsia="文星黑体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jc w:val="both"/>
        <w:rPr>
          <w:rFonts w:hint="eastAsia" w:ascii="文星黑体" w:hAnsi="文星黑体" w:eastAsia="文星黑体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jc w:val="both"/>
        <w:rPr>
          <w:rFonts w:hint="eastAsia" w:ascii="文星黑体" w:hAnsi="文星黑体" w:eastAsia="文星黑体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jc w:val="both"/>
        <w:rPr>
          <w:rFonts w:hint="eastAsia" w:ascii="文星黑体" w:hAnsi="文星黑体" w:eastAsia="文星黑体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600" w:lineRule="exact"/>
        <w:jc w:val="center"/>
        <w:rPr>
          <w:rFonts w:hint="eastAsia" w:ascii="文星黑体" w:hAnsi="文星黑体" w:eastAsia="文星黑体"/>
          <w:sz w:val="32"/>
          <w:szCs w:val="32"/>
        </w:rPr>
      </w:pPr>
      <w:r>
        <w:rPr>
          <w:rFonts w:hint="eastAsia" w:ascii="文星黑体" w:hAnsi="文星黑体" w:eastAsia="文星黑体"/>
          <w:sz w:val="32"/>
          <w:szCs w:val="32"/>
        </w:rPr>
        <w:t>第三部分</w:t>
      </w:r>
    </w:p>
    <w:p>
      <w:pPr>
        <w:kinsoku w:val="0"/>
        <w:overflowPunct w:val="0"/>
        <w:adjustRightInd w:val="0"/>
        <w:snapToGrid w:val="0"/>
        <w:spacing w:line="600" w:lineRule="exact"/>
        <w:jc w:val="center"/>
        <w:rPr>
          <w:rFonts w:eastAsia="仿宋_GB2312"/>
          <w:spacing w:val="-32"/>
          <w:sz w:val="32"/>
          <w:szCs w:val="32"/>
        </w:rPr>
      </w:pPr>
      <w:r>
        <w:rPr>
          <w:rFonts w:hint="eastAsia" w:ascii="文星黑体" w:hAnsi="文星黑体" w:eastAsia="文星黑体"/>
          <w:sz w:val="32"/>
          <w:szCs w:val="32"/>
        </w:rPr>
        <w:t>名词解释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一、财政拨款收入：是指市级财政当年拨付的资金。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二、事业收入：是指事业单位开展专业活动及辅助活动所取得的收入。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三、其他收入：是指部门取得的除“财政拨款”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“事业收入”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 xml:space="preserve">“事业单位经营收入”等以外的收入。 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四、用事业基金弥补收支差额：是指事业单位在当年的“财政拨款收入”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“事业收入”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五、基本支出：是指为保障机构正常运转、完成日常工作任务所必需的开支，包括人员经费和日常公用经费两部分。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各类公务接待（含外宾接待）支出。</w:t>
      </w:r>
    </w:p>
    <w:p>
      <w:pPr>
        <w:pStyle w:val="2"/>
        <w:kinsoku w:val="0"/>
        <w:overflowPunct w:val="0"/>
        <w:snapToGrid w:val="0"/>
        <w:spacing w:after="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2"/>
        <w:kinsoku w:val="0"/>
        <w:overflowPunct w:val="0"/>
        <w:snapToGrid w:val="0"/>
        <w:spacing w:after="0" w:line="600" w:lineRule="exact"/>
        <w:rPr>
          <w:rFonts w:ascii="文星仿宋" w:hAnsi="文星仿宋" w:eastAsia="文星仿宋"/>
          <w:sz w:val="32"/>
          <w:szCs w:val="32"/>
        </w:rPr>
      </w:pPr>
    </w:p>
    <w:p>
      <w:pPr>
        <w:pStyle w:val="7"/>
        <w:spacing w:line="600" w:lineRule="exact"/>
        <w:ind w:firstLine="0"/>
        <w:rPr>
          <w:rFonts w:hint="eastAsia" w:ascii="文星黑体" w:hAnsi="文星黑体" w:eastAsia="文星黑体"/>
          <w:kern w:val="2"/>
          <w:sz w:val="32"/>
          <w:szCs w:val="32"/>
        </w:rPr>
      </w:pPr>
      <w:r>
        <w:rPr>
          <w:rFonts w:hint="eastAsia" w:ascii="文星黑体" w:hAnsi="文星黑体" w:eastAsia="文星黑体"/>
          <w:kern w:val="2"/>
          <w:sz w:val="32"/>
          <w:szCs w:val="32"/>
        </w:rPr>
        <w:t>附件：</w:t>
      </w:r>
    </w:p>
    <w:p>
      <w:pPr>
        <w:pStyle w:val="7"/>
        <w:spacing w:line="600" w:lineRule="exact"/>
        <w:ind w:firstLine="1280" w:firstLineChars="400"/>
        <w:rPr>
          <w:rFonts w:hint="eastAsia" w:ascii="文星黑体" w:hAnsi="文星黑体" w:eastAsia="文星黑体"/>
          <w:kern w:val="2"/>
          <w:sz w:val="32"/>
          <w:szCs w:val="32"/>
        </w:rPr>
      </w:pPr>
      <w:r>
        <w:rPr>
          <w:rFonts w:hint="eastAsia" w:ascii="文星黑体" w:hAnsi="文星黑体" w:eastAsia="文星黑体"/>
          <w:kern w:val="2"/>
          <w:sz w:val="32"/>
          <w:szCs w:val="32"/>
        </w:rPr>
        <w:t>三门峡市人民政府办公室20</w:t>
      </w:r>
      <w:r>
        <w:rPr>
          <w:rFonts w:hint="eastAsia" w:ascii="文星黑体" w:hAnsi="文星黑体" w:eastAsia="文星黑体"/>
          <w:kern w:val="2"/>
          <w:sz w:val="32"/>
          <w:szCs w:val="32"/>
          <w:lang w:val="en-US" w:eastAsia="zh-CN"/>
        </w:rPr>
        <w:t>21</w:t>
      </w:r>
      <w:r>
        <w:rPr>
          <w:rFonts w:hint="eastAsia" w:ascii="文星黑体" w:hAnsi="文星黑体" w:eastAsia="文星黑体"/>
          <w:kern w:val="2"/>
          <w:sz w:val="32"/>
          <w:szCs w:val="32"/>
        </w:rPr>
        <w:t>年部门预算表</w:t>
      </w:r>
    </w:p>
    <w:p/>
    <w:p/>
    <w:p/>
    <w:p/>
    <w:p/>
    <w:p/>
    <w:p/>
    <w:p/>
    <w:p/>
    <w:p/>
    <w:p/>
    <w:p/>
    <w:p/>
    <w:p/>
    <w:p/>
    <w:p/>
    <w:p/>
    <w:p/>
    <w:p/>
    <w:p/>
    <w:sectPr>
      <w:footerReference r:id="rId4" w:type="default"/>
      <w:endnotePr>
        <w:numFmt w:val="decimal"/>
      </w:endnotePr>
      <w:pgSz w:w="11849" w:h="16781"/>
      <w:pgMar w:top="2098" w:right="1474" w:bottom="1985" w:left="1588" w:header="0" w:footer="907" w:gutter="0"/>
      <w:pgNumType w:fmt="numberInDash" w:start="1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357E"/>
    <w:rsid w:val="00AF2989"/>
    <w:rsid w:val="00CA5129"/>
    <w:rsid w:val="03D422C8"/>
    <w:rsid w:val="03E95152"/>
    <w:rsid w:val="04014562"/>
    <w:rsid w:val="05264620"/>
    <w:rsid w:val="05C6357E"/>
    <w:rsid w:val="0677003E"/>
    <w:rsid w:val="070D0325"/>
    <w:rsid w:val="0A1F0130"/>
    <w:rsid w:val="0AD44CD2"/>
    <w:rsid w:val="0B904EC9"/>
    <w:rsid w:val="0F235A84"/>
    <w:rsid w:val="103E0F08"/>
    <w:rsid w:val="212D4B3A"/>
    <w:rsid w:val="214D53B6"/>
    <w:rsid w:val="216275CB"/>
    <w:rsid w:val="24924005"/>
    <w:rsid w:val="269D4A6F"/>
    <w:rsid w:val="28D50DD1"/>
    <w:rsid w:val="28ED7753"/>
    <w:rsid w:val="28F33383"/>
    <w:rsid w:val="2C350D5D"/>
    <w:rsid w:val="2D0C23D9"/>
    <w:rsid w:val="2F810911"/>
    <w:rsid w:val="31B767E2"/>
    <w:rsid w:val="321B3BAA"/>
    <w:rsid w:val="32272FEB"/>
    <w:rsid w:val="34720D37"/>
    <w:rsid w:val="37A96C19"/>
    <w:rsid w:val="39961B50"/>
    <w:rsid w:val="3C4D08BD"/>
    <w:rsid w:val="421850BE"/>
    <w:rsid w:val="45D65C4D"/>
    <w:rsid w:val="4B1F014E"/>
    <w:rsid w:val="4C9E243E"/>
    <w:rsid w:val="4EBF0C7E"/>
    <w:rsid w:val="51942A7F"/>
    <w:rsid w:val="57C974D4"/>
    <w:rsid w:val="596C1150"/>
    <w:rsid w:val="5EF52809"/>
    <w:rsid w:val="60DC7AE1"/>
    <w:rsid w:val="632D71EB"/>
    <w:rsid w:val="6A2D528D"/>
    <w:rsid w:val="6CE62EFA"/>
    <w:rsid w:val="6D6A442D"/>
    <w:rsid w:val="73534774"/>
    <w:rsid w:val="73BF0CC4"/>
    <w:rsid w:val="73DD72E3"/>
    <w:rsid w:val="78E853E2"/>
    <w:rsid w:val="7F5F7C03"/>
    <w:rsid w:val="DBD1B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  <w:ind w:firstLine="420"/>
      <w:jc w:val="left"/>
    </w:pPr>
    <w:rPr>
      <w:rFonts w:eastAsia="Arial Unicode MS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2021-04-07T09:44:00Z</dcterms:created>
  <dc:creator>LENOVO</dc:creator>
  <cp:lastModifiedBy>greatwall</cp:lastModifiedBy>
  <dcterms:modified xsi:type="dcterms:W3CDTF">2022-09-21T15:27:14Z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